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73400" w14:textId="77777777" w:rsidR="000463F6" w:rsidRPr="000463F6" w:rsidRDefault="00BE06D2" w:rsidP="00660422">
      <w:pPr>
        <w:spacing w:line="276" w:lineRule="auto"/>
        <w:jc w:val="both"/>
        <w:rPr>
          <w:rFonts w:cs="Arial"/>
          <w:bCs/>
          <w:color w:val="00A2D3"/>
          <w:sz w:val="28"/>
          <w:szCs w:val="28"/>
        </w:rPr>
      </w:pPr>
      <w:bookmarkStart w:id="0" w:name="_GoBack"/>
      <w:bookmarkEnd w:id="0"/>
      <w:r w:rsidRPr="000463F6">
        <w:rPr>
          <w:rFonts w:cs="Arial"/>
          <w:b/>
          <w:bCs/>
          <w:color w:val="00A2D3"/>
          <w:sz w:val="28"/>
          <w:szCs w:val="28"/>
        </w:rPr>
        <w:t>Bevorderingsnorm vmbo</w:t>
      </w:r>
    </w:p>
    <w:p w14:paraId="67373401" w14:textId="77777777" w:rsidR="000463F6" w:rsidRPr="000463F6" w:rsidRDefault="000463F6" w:rsidP="000463F6">
      <w:pPr>
        <w:pStyle w:val="Koptekst"/>
        <w:tabs>
          <w:tab w:val="left" w:pos="2957"/>
        </w:tabs>
        <w:spacing w:line="276" w:lineRule="auto"/>
        <w:jc w:val="both"/>
        <w:rPr>
          <w:b/>
          <w:color w:val="00A2D3"/>
          <w:sz w:val="16"/>
          <w:szCs w:val="16"/>
        </w:rPr>
      </w:pPr>
      <w:r>
        <w:rPr>
          <w:rFonts w:cs="Arial"/>
          <w:noProof/>
          <w:szCs w:val="20"/>
          <w:lang w:eastAsia="nl-NL"/>
        </w:rPr>
        <mc:AlternateContent>
          <mc:Choice Requires="wps">
            <w:drawing>
              <wp:anchor distT="0" distB="0" distL="114300" distR="114300" simplePos="0" relativeHeight="251661312" behindDoc="0" locked="0" layoutInCell="1" allowOverlap="1" wp14:anchorId="673734BE" wp14:editId="673734BF">
                <wp:simplePos x="0" y="0"/>
                <wp:positionH relativeFrom="column">
                  <wp:posOffset>0</wp:posOffset>
                </wp:positionH>
                <wp:positionV relativeFrom="paragraph">
                  <wp:posOffset>88900</wp:posOffset>
                </wp:positionV>
                <wp:extent cx="5760720" cy="0"/>
                <wp:effectExtent l="0" t="0" r="30480" b="19050"/>
                <wp:wrapNone/>
                <wp:docPr id="3" name="Rechte verbindingslijn 3"/>
                <wp:cNvGraphicFramePr/>
                <a:graphic xmlns:a="http://schemas.openxmlformats.org/drawingml/2006/main">
                  <a:graphicData uri="http://schemas.microsoft.com/office/word/2010/wordprocessingShape">
                    <wps:wsp>
                      <wps:cNvCnPr/>
                      <wps:spPr>
                        <a:xfrm>
                          <a:off x="0" y="0"/>
                          <a:ext cx="5760720" cy="0"/>
                        </a:xfrm>
                        <a:prstGeom prst="line">
                          <a:avLst/>
                        </a:prstGeom>
                        <a:ln w="15875">
                          <a:solidFill>
                            <a:srgbClr val="A2D1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458DCF84" id="Rechte verbindingslijn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7pt" to="453.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" strokecolor="#a2d108" strokeweight="1.25pt">
                <v:stroke joinstyle="miter"/>
              </v:line>
            </w:pict>
          </mc:Fallback>
        </mc:AlternateContent>
      </w:r>
    </w:p>
    <w:p w14:paraId="67373402" w14:textId="77777777" w:rsidR="000463F6" w:rsidRPr="000463F6" w:rsidRDefault="000463F6" w:rsidP="000463F6">
      <w:pPr>
        <w:pStyle w:val="Koptekst"/>
        <w:tabs>
          <w:tab w:val="left" w:pos="2957"/>
        </w:tabs>
        <w:spacing w:line="276" w:lineRule="auto"/>
        <w:jc w:val="both"/>
        <w:rPr>
          <w:b/>
          <w:color w:val="00A2D3"/>
          <w:sz w:val="6"/>
          <w:szCs w:val="6"/>
        </w:rPr>
      </w:pPr>
    </w:p>
    <w:p w14:paraId="67373403" w14:textId="77777777" w:rsidR="00BE06D2" w:rsidRPr="000463F6" w:rsidRDefault="00BE06D2" w:rsidP="000463F6">
      <w:pPr>
        <w:pStyle w:val="Koptekst"/>
        <w:tabs>
          <w:tab w:val="left" w:pos="2957"/>
        </w:tabs>
        <w:spacing w:line="276" w:lineRule="auto"/>
        <w:jc w:val="both"/>
        <w:rPr>
          <w:b/>
          <w:color w:val="00A2D3"/>
          <w:sz w:val="18"/>
          <w:szCs w:val="18"/>
        </w:rPr>
      </w:pPr>
      <w:r w:rsidRPr="000463F6">
        <w:rPr>
          <w:b/>
          <w:color w:val="00A2D3"/>
          <w:sz w:val="18"/>
          <w:szCs w:val="18"/>
        </w:rPr>
        <w:t>Inleiding</w:t>
      </w:r>
    </w:p>
    <w:p w14:paraId="67373404" w14:textId="77777777" w:rsidR="00BE06D2" w:rsidRPr="000463F6" w:rsidRDefault="00BE06D2" w:rsidP="00DB7D77">
      <w:pPr>
        <w:spacing w:line="276" w:lineRule="auto"/>
        <w:jc w:val="both"/>
        <w:rPr>
          <w:sz w:val="18"/>
          <w:szCs w:val="18"/>
        </w:rPr>
      </w:pPr>
      <w:r w:rsidRPr="000463F6">
        <w:rPr>
          <w:sz w:val="18"/>
          <w:szCs w:val="18"/>
        </w:rPr>
        <w:t xml:space="preserve">In dit document zijn de bevorderingsnormen opgenomen die gehanteerd worden op CSG De Lage Waard. Voor alle leerlingen gelden de normen voor bevorderen uit dit reglement. </w:t>
      </w:r>
    </w:p>
    <w:p w14:paraId="67373405" w14:textId="77777777" w:rsidR="00BE06D2" w:rsidRPr="000463F6" w:rsidRDefault="00BE06D2" w:rsidP="00DB7D77">
      <w:pPr>
        <w:spacing w:line="276" w:lineRule="auto"/>
        <w:jc w:val="both"/>
        <w:rPr>
          <w:sz w:val="18"/>
          <w:szCs w:val="18"/>
        </w:rPr>
      </w:pPr>
    </w:p>
    <w:p w14:paraId="67373406" w14:textId="77777777" w:rsidR="00BE06D2" w:rsidRPr="000463F6" w:rsidRDefault="00BE06D2" w:rsidP="00DB7D77">
      <w:pPr>
        <w:spacing w:line="276" w:lineRule="auto"/>
        <w:jc w:val="both"/>
        <w:rPr>
          <w:b/>
          <w:color w:val="00A2D3"/>
          <w:sz w:val="18"/>
          <w:szCs w:val="18"/>
        </w:rPr>
      </w:pPr>
      <w:r w:rsidRPr="000463F6">
        <w:rPr>
          <w:b/>
          <w:color w:val="00A2D3"/>
          <w:sz w:val="18"/>
          <w:szCs w:val="18"/>
        </w:rPr>
        <w:t>Definities</w:t>
      </w:r>
    </w:p>
    <w:p w14:paraId="67373407" w14:textId="77777777" w:rsidR="00BE06D2" w:rsidRPr="000463F6" w:rsidRDefault="00BE06D2" w:rsidP="00DB7D77">
      <w:pPr>
        <w:spacing w:line="276" w:lineRule="auto"/>
        <w:jc w:val="both"/>
        <w:rPr>
          <w:color w:val="FF0000"/>
          <w:sz w:val="18"/>
          <w:szCs w:val="18"/>
        </w:rPr>
      </w:pPr>
      <w:r w:rsidRPr="000463F6">
        <w:rPr>
          <w:sz w:val="18"/>
          <w:szCs w:val="18"/>
        </w:rPr>
        <w:t>De onderdelen die voor het bepalen van het rapportcijfer meetellen zijn alle toetsen, werkstukken, verslagen en presentaties. Onder tekorten wordt verstaan: een 5 is één tekort, een 4 is twee tekorten</w:t>
      </w:r>
      <w:r w:rsidR="002D65EB" w:rsidRPr="000463F6">
        <w:rPr>
          <w:sz w:val="18"/>
          <w:szCs w:val="18"/>
        </w:rPr>
        <w:t>. Voor de onderbouw geldt dat je voor een vak maximaal drie tekorten kunt staan:</w:t>
      </w:r>
      <w:r w:rsidRPr="000463F6">
        <w:rPr>
          <w:sz w:val="18"/>
          <w:szCs w:val="18"/>
        </w:rPr>
        <w:t xml:space="preserve"> een drie</w:t>
      </w:r>
      <w:r w:rsidR="00B62264" w:rsidRPr="000463F6">
        <w:rPr>
          <w:sz w:val="18"/>
          <w:szCs w:val="18"/>
        </w:rPr>
        <w:t xml:space="preserve"> of lager</w:t>
      </w:r>
      <w:r w:rsidR="002D65EB" w:rsidRPr="000463F6">
        <w:rPr>
          <w:sz w:val="18"/>
          <w:szCs w:val="18"/>
        </w:rPr>
        <w:t xml:space="preserve"> is </w:t>
      </w:r>
      <w:r w:rsidR="009B5337" w:rsidRPr="000463F6">
        <w:rPr>
          <w:sz w:val="18"/>
          <w:szCs w:val="18"/>
        </w:rPr>
        <w:t xml:space="preserve">dus altijd maximaal </w:t>
      </w:r>
      <w:r w:rsidR="002D65EB" w:rsidRPr="000463F6">
        <w:rPr>
          <w:sz w:val="18"/>
          <w:szCs w:val="18"/>
        </w:rPr>
        <w:t>drie tekorten.</w:t>
      </w:r>
    </w:p>
    <w:p w14:paraId="67373408" w14:textId="77777777" w:rsidR="00BE06D2" w:rsidRPr="000463F6" w:rsidRDefault="00BE06D2" w:rsidP="00DB7D77">
      <w:pPr>
        <w:spacing w:line="276" w:lineRule="auto"/>
        <w:jc w:val="both"/>
        <w:rPr>
          <w:sz w:val="18"/>
          <w:szCs w:val="18"/>
        </w:rPr>
      </w:pPr>
    </w:p>
    <w:p w14:paraId="67373409" w14:textId="77777777" w:rsidR="00BE06D2" w:rsidRPr="000463F6" w:rsidRDefault="00BE06D2" w:rsidP="00DB7D77">
      <w:pPr>
        <w:spacing w:line="276" w:lineRule="auto"/>
        <w:jc w:val="both"/>
        <w:rPr>
          <w:b/>
          <w:color w:val="00A2D3"/>
          <w:sz w:val="18"/>
          <w:szCs w:val="18"/>
        </w:rPr>
      </w:pPr>
      <w:r w:rsidRPr="000463F6">
        <w:rPr>
          <w:b/>
          <w:color w:val="00A2D3"/>
          <w:sz w:val="18"/>
          <w:szCs w:val="18"/>
        </w:rPr>
        <w:t>Algemene regels</w:t>
      </w:r>
    </w:p>
    <w:p w14:paraId="6737340A" w14:textId="77777777" w:rsidR="00BE06D2" w:rsidRPr="000463F6" w:rsidRDefault="00BE06D2" w:rsidP="00DB7D77">
      <w:pPr>
        <w:pStyle w:val="Lijstalinea"/>
        <w:numPr>
          <w:ilvl w:val="0"/>
          <w:numId w:val="5"/>
        </w:numPr>
        <w:spacing w:line="276" w:lineRule="auto"/>
        <w:jc w:val="both"/>
        <w:rPr>
          <w:sz w:val="18"/>
          <w:szCs w:val="18"/>
        </w:rPr>
      </w:pPr>
      <w:r w:rsidRPr="000463F6">
        <w:rPr>
          <w:sz w:val="18"/>
          <w:szCs w:val="18"/>
        </w:rPr>
        <w:t>Het aantal uren per week van een vak, plus één, is uitgangspunt voor het aantal toetsen per periode. Bijvoorbeeld: en vak met twee uur, heeft minimaal drie toetsen.</w:t>
      </w:r>
    </w:p>
    <w:p w14:paraId="6737340B" w14:textId="77777777" w:rsidR="009B5337" w:rsidRPr="000463F6" w:rsidRDefault="00BE06D2" w:rsidP="00D536CE">
      <w:pPr>
        <w:pStyle w:val="Lijstalinea"/>
        <w:numPr>
          <w:ilvl w:val="0"/>
          <w:numId w:val="5"/>
        </w:numPr>
        <w:spacing w:line="276" w:lineRule="auto"/>
        <w:jc w:val="both"/>
        <w:rPr>
          <w:sz w:val="18"/>
          <w:szCs w:val="18"/>
        </w:rPr>
      </w:pPr>
      <w:r w:rsidRPr="000463F6">
        <w:rPr>
          <w:sz w:val="18"/>
          <w:szCs w:val="18"/>
        </w:rPr>
        <w:t xml:space="preserve">Toetsen </w:t>
      </w:r>
      <w:r w:rsidR="00B62264" w:rsidRPr="000463F6">
        <w:rPr>
          <w:sz w:val="18"/>
          <w:szCs w:val="18"/>
        </w:rPr>
        <w:t xml:space="preserve">met een weging van 2 of meer </w:t>
      </w:r>
      <w:r w:rsidRPr="000463F6">
        <w:rPr>
          <w:sz w:val="18"/>
          <w:szCs w:val="18"/>
        </w:rPr>
        <w:t>worden minimaal vijf lesdagen van te voren afgesproken en opgegeven.</w:t>
      </w:r>
    </w:p>
    <w:p w14:paraId="6737340C" w14:textId="77777777" w:rsidR="00BE06D2" w:rsidRPr="000463F6" w:rsidRDefault="00BE06D2" w:rsidP="00D536CE">
      <w:pPr>
        <w:pStyle w:val="Lijstalinea"/>
        <w:numPr>
          <w:ilvl w:val="0"/>
          <w:numId w:val="5"/>
        </w:numPr>
        <w:spacing w:line="276" w:lineRule="auto"/>
        <w:jc w:val="both"/>
        <w:rPr>
          <w:sz w:val="18"/>
          <w:szCs w:val="18"/>
        </w:rPr>
      </w:pPr>
      <w:r w:rsidRPr="000463F6">
        <w:rPr>
          <w:sz w:val="18"/>
          <w:szCs w:val="18"/>
        </w:rPr>
        <w:t>Idealiter hebben leerlingen maximaal één toets (weging 2 of meer) per dag. In uitzonderingsgevallen kunnen dit er twee zijn.</w:t>
      </w:r>
    </w:p>
    <w:p w14:paraId="6737340D" w14:textId="77777777" w:rsidR="00BE06D2" w:rsidRPr="000463F6" w:rsidRDefault="00BE06D2" w:rsidP="00DB7D77">
      <w:pPr>
        <w:pStyle w:val="Lijstalinea"/>
        <w:numPr>
          <w:ilvl w:val="0"/>
          <w:numId w:val="5"/>
        </w:numPr>
        <w:spacing w:line="276" w:lineRule="auto"/>
        <w:jc w:val="both"/>
        <w:rPr>
          <w:sz w:val="18"/>
          <w:szCs w:val="18"/>
        </w:rPr>
      </w:pPr>
      <w:r w:rsidRPr="000463F6">
        <w:rPr>
          <w:sz w:val="18"/>
          <w:szCs w:val="18"/>
        </w:rPr>
        <w:t>Schriftelijk werk van leerlingen wordt binnen tien lesdagen, nagekeken en besproken met de leerlingen.</w:t>
      </w:r>
    </w:p>
    <w:p w14:paraId="6737340E" w14:textId="77777777" w:rsidR="00BE06D2" w:rsidRPr="000463F6" w:rsidRDefault="00BE06D2" w:rsidP="00DB7D77">
      <w:pPr>
        <w:spacing w:line="276" w:lineRule="auto"/>
        <w:jc w:val="both"/>
        <w:rPr>
          <w:b/>
          <w:sz w:val="18"/>
          <w:szCs w:val="18"/>
        </w:rPr>
      </w:pPr>
    </w:p>
    <w:p w14:paraId="6737340F" w14:textId="77777777" w:rsidR="00BE06D2" w:rsidRPr="000463F6" w:rsidRDefault="00BE06D2" w:rsidP="00DB7D77">
      <w:pPr>
        <w:spacing w:line="276" w:lineRule="auto"/>
        <w:jc w:val="both"/>
        <w:rPr>
          <w:b/>
          <w:color w:val="00A2D3"/>
          <w:sz w:val="18"/>
          <w:szCs w:val="18"/>
        </w:rPr>
      </w:pPr>
      <w:r w:rsidRPr="000463F6">
        <w:rPr>
          <w:b/>
          <w:color w:val="00A2D3"/>
          <w:sz w:val="18"/>
          <w:szCs w:val="18"/>
        </w:rPr>
        <w:t>Berekening rapportcijfer</w:t>
      </w:r>
    </w:p>
    <w:p w14:paraId="67373410" w14:textId="77777777" w:rsidR="00BE06D2" w:rsidRPr="000463F6" w:rsidRDefault="00BE06D2" w:rsidP="00DB7D77">
      <w:pPr>
        <w:spacing w:line="276" w:lineRule="auto"/>
        <w:jc w:val="both"/>
        <w:rPr>
          <w:sz w:val="18"/>
          <w:szCs w:val="18"/>
        </w:rPr>
      </w:pPr>
      <w:r w:rsidRPr="000463F6">
        <w:rPr>
          <w:sz w:val="18"/>
          <w:szCs w:val="18"/>
        </w:rPr>
        <w:t>Er zijn drie perioden. Per periode wordt een periodecijfer gegeven, het gewogen gemiddelde van de cijfers van de betreffende periode.</w:t>
      </w:r>
    </w:p>
    <w:p w14:paraId="67373411" w14:textId="77777777" w:rsidR="00BE06D2" w:rsidRPr="000463F6" w:rsidRDefault="00BE06D2" w:rsidP="00DB7D77">
      <w:pPr>
        <w:spacing w:line="276" w:lineRule="auto"/>
        <w:jc w:val="both"/>
        <w:rPr>
          <w:sz w:val="18"/>
          <w:szCs w:val="18"/>
        </w:rPr>
      </w:pPr>
    </w:p>
    <w:p w14:paraId="67373412" w14:textId="77777777" w:rsidR="00BE06D2" w:rsidRPr="000463F6" w:rsidRDefault="00BE06D2" w:rsidP="00DB7D77">
      <w:pPr>
        <w:spacing w:line="276" w:lineRule="auto"/>
        <w:jc w:val="both"/>
        <w:rPr>
          <w:sz w:val="18"/>
          <w:szCs w:val="18"/>
        </w:rPr>
      </w:pPr>
      <w:r w:rsidRPr="000463F6">
        <w:rPr>
          <w:sz w:val="18"/>
          <w:szCs w:val="18"/>
        </w:rPr>
        <w:t>Het cijfer op het eindrapport is het gewogen gemiddelde van de cijfers van het gehele jaar (en niet van de aparte rapportcijfers). Bij de overgangsbepaling kijken we naar deze eindlijst. Het gaat om cijfers die afgerond zijn op een geheel getal.</w:t>
      </w:r>
    </w:p>
    <w:p w14:paraId="67373413" w14:textId="77777777" w:rsidR="00BE06D2" w:rsidRPr="000463F6" w:rsidRDefault="00BE06D2" w:rsidP="00DB7D77">
      <w:pPr>
        <w:spacing w:line="276" w:lineRule="auto"/>
        <w:jc w:val="both"/>
        <w:rPr>
          <w:sz w:val="18"/>
          <w:szCs w:val="18"/>
        </w:rPr>
      </w:pPr>
    </w:p>
    <w:p w14:paraId="67373414" w14:textId="77777777" w:rsidR="00BE06D2" w:rsidRPr="000463F6" w:rsidRDefault="00BE06D2" w:rsidP="00DB7D77">
      <w:pPr>
        <w:spacing w:line="276" w:lineRule="auto"/>
        <w:jc w:val="both"/>
        <w:rPr>
          <w:sz w:val="18"/>
          <w:szCs w:val="18"/>
        </w:rPr>
      </w:pPr>
      <w:r w:rsidRPr="000463F6">
        <w:rPr>
          <w:sz w:val="18"/>
          <w:szCs w:val="18"/>
        </w:rPr>
        <w:t xml:space="preserve">De gewichtsfactoren van de verschillende typen toetsen worden per sectie, per stroom, per leerjaar en per periode vastgelegd. Deze gewichtsfactoren kunnen uitsluitend de waarden 1, 2, 3 of 4 hebben. Gewichtsfactor 4 is alleen mogelijk voor toetsen die een (aaneengesloten) dubbel lesuur in beslag nemen. </w:t>
      </w:r>
    </w:p>
    <w:p w14:paraId="67373415" w14:textId="77777777" w:rsidR="00BE06D2" w:rsidRPr="000463F6" w:rsidRDefault="00BE06D2" w:rsidP="00DB7D77">
      <w:pPr>
        <w:spacing w:line="276" w:lineRule="auto"/>
        <w:jc w:val="both"/>
        <w:rPr>
          <w:sz w:val="18"/>
          <w:szCs w:val="18"/>
        </w:rPr>
      </w:pPr>
    </w:p>
    <w:p w14:paraId="67373416" w14:textId="77777777" w:rsidR="00BE06D2" w:rsidRPr="000463F6" w:rsidRDefault="00BE06D2" w:rsidP="00DB7D77">
      <w:pPr>
        <w:spacing w:line="276" w:lineRule="auto"/>
        <w:jc w:val="both"/>
        <w:rPr>
          <w:sz w:val="18"/>
          <w:szCs w:val="18"/>
        </w:rPr>
      </w:pPr>
      <w:r w:rsidRPr="000463F6">
        <w:rPr>
          <w:sz w:val="18"/>
          <w:szCs w:val="18"/>
        </w:rPr>
        <w:t>Voor de toepassing van de overgangsnormen tellen alle gegeven vakken gelijkwaardig mee.</w:t>
      </w:r>
    </w:p>
    <w:p w14:paraId="67373417" w14:textId="77777777" w:rsidR="00BE06D2" w:rsidRPr="000463F6" w:rsidRDefault="00BE06D2" w:rsidP="00DB7D77">
      <w:pPr>
        <w:spacing w:line="276" w:lineRule="auto"/>
        <w:jc w:val="both"/>
        <w:rPr>
          <w:b/>
          <w:color w:val="00A2D3"/>
          <w:sz w:val="18"/>
          <w:szCs w:val="18"/>
        </w:rPr>
      </w:pPr>
    </w:p>
    <w:p w14:paraId="67373418" w14:textId="77777777" w:rsidR="00BE06D2" w:rsidRPr="000463F6" w:rsidRDefault="00BE06D2" w:rsidP="00DB7D77">
      <w:pPr>
        <w:spacing w:line="276" w:lineRule="auto"/>
        <w:jc w:val="both"/>
        <w:rPr>
          <w:b/>
          <w:color w:val="00A2D3"/>
          <w:sz w:val="18"/>
          <w:szCs w:val="18"/>
        </w:rPr>
      </w:pPr>
      <w:r w:rsidRPr="000463F6">
        <w:rPr>
          <w:b/>
          <w:color w:val="00A2D3"/>
          <w:sz w:val="18"/>
          <w:szCs w:val="18"/>
        </w:rPr>
        <w:t>Compensatie</w:t>
      </w:r>
    </w:p>
    <w:p w14:paraId="67373419" w14:textId="77777777" w:rsidR="00BE06D2" w:rsidRPr="000463F6" w:rsidRDefault="00BE06D2" w:rsidP="00DB7D77">
      <w:pPr>
        <w:spacing w:line="276" w:lineRule="auto"/>
        <w:jc w:val="both"/>
        <w:rPr>
          <w:sz w:val="18"/>
          <w:szCs w:val="18"/>
        </w:rPr>
      </w:pPr>
      <w:r w:rsidRPr="000463F6">
        <w:rPr>
          <w:sz w:val="18"/>
          <w:szCs w:val="18"/>
        </w:rPr>
        <w:t>Als er een mogelijkheid is een onvoldoende te compenseren, dan kan dit uitsluitend met behulp van examenvakken. Zie hiervoor verder de tabellen.</w:t>
      </w:r>
    </w:p>
    <w:p w14:paraId="6737341A" w14:textId="77777777" w:rsidR="009B5337" w:rsidRPr="000463F6" w:rsidRDefault="009B5337" w:rsidP="00DB7D77">
      <w:pPr>
        <w:spacing w:line="276" w:lineRule="auto"/>
        <w:jc w:val="both"/>
        <w:rPr>
          <w:sz w:val="18"/>
          <w:szCs w:val="18"/>
        </w:rPr>
      </w:pPr>
    </w:p>
    <w:p w14:paraId="6737341B" w14:textId="77777777" w:rsidR="00BE06D2" w:rsidRPr="000463F6" w:rsidRDefault="00BE06D2" w:rsidP="00DB7D77">
      <w:pPr>
        <w:spacing w:line="276" w:lineRule="auto"/>
        <w:jc w:val="both"/>
        <w:rPr>
          <w:b/>
          <w:sz w:val="18"/>
          <w:szCs w:val="18"/>
        </w:rPr>
      </w:pPr>
      <w:r w:rsidRPr="000463F6">
        <w:rPr>
          <w:b/>
          <w:color w:val="00A2D3"/>
          <w:sz w:val="18"/>
          <w:szCs w:val="18"/>
        </w:rPr>
        <w:t>Bespreekgeval</w:t>
      </w:r>
    </w:p>
    <w:p w14:paraId="6737341C" w14:textId="77777777" w:rsidR="00BE06D2" w:rsidRPr="000463F6" w:rsidRDefault="00BE06D2" w:rsidP="00DB7D77">
      <w:pPr>
        <w:spacing w:line="276" w:lineRule="auto"/>
        <w:jc w:val="both"/>
        <w:rPr>
          <w:sz w:val="18"/>
          <w:szCs w:val="18"/>
        </w:rPr>
      </w:pPr>
      <w:r w:rsidRPr="000463F6">
        <w:rPr>
          <w:sz w:val="18"/>
          <w:szCs w:val="18"/>
        </w:rPr>
        <w:t>Wanneer een leerling op basis van de cijfers volgens de bevorderingsnormen in de categorie ‘bespreekgeval’ valt, beslist de docentenvergadering. De vergadering kan dan kiezen uit de volgende opties: bevorderen en niet-bevorderen.</w:t>
      </w:r>
    </w:p>
    <w:p w14:paraId="6737341D" w14:textId="77777777" w:rsidR="00BE06D2" w:rsidRPr="000463F6" w:rsidRDefault="00BE06D2" w:rsidP="00DB7D77">
      <w:pPr>
        <w:spacing w:line="276" w:lineRule="auto"/>
        <w:jc w:val="both"/>
        <w:rPr>
          <w:b/>
          <w:color w:val="00A2D3"/>
          <w:sz w:val="18"/>
          <w:szCs w:val="18"/>
        </w:rPr>
      </w:pPr>
    </w:p>
    <w:p w14:paraId="6737341E" w14:textId="77777777" w:rsidR="00BE06D2" w:rsidRPr="000463F6" w:rsidRDefault="00BE06D2" w:rsidP="00DB7D77">
      <w:pPr>
        <w:spacing w:line="276" w:lineRule="auto"/>
        <w:jc w:val="both"/>
        <w:rPr>
          <w:b/>
          <w:color w:val="00A2D3"/>
          <w:sz w:val="18"/>
          <w:szCs w:val="18"/>
        </w:rPr>
      </w:pPr>
      <w:r w:rsidRPr="000463F6">
        <w:rPr>
          <w:b/>
          <w:color w:val="00A2D3"/>
          <w:sz w:val="18"/>
          <w:szCs w:val="18"/>
        </w:rPr>
        <w:t>Tot bespreekgeval verheffen</w:t>
      </w:r>
    </w:p>
    <w:p w14:paraId="6737341F" w14:textId="77777777" w:rsidR="009B5337" w:rsidRPr="000463F6" w:rsidRDefault="00BE06D2" w:rsidP="00DB7D77">
      <w:pPr>
        <w:spacing w:line="276" w:lineRule="auto"/>
        <w:jc w:val="both"/>
        <w:rPr>
          <w:sz w:val="18"/>
          <w:szCs w:val="18"/>
        </w:rPr>
      </w:pPr>
      <w:r w:rsidRPr="000463F6">
        <w:rPr>
          <w:sz w:val="18"/>
          <w:szCs w:val="18"/>
        </w:rPr>
        <w:t xml:space="preserve">Wanneer er bijzondere omstandigheden zijn, kan de docentenvergadering een leerling die op grond van de cijfers niet bevorderd kan worden, tot bespreekgeval verheffen. In bijzondere (persoonlijke) omstandigheden heeft de </w:t>
      </w:r>
      <w:r w:rsidR="009B5337" w:rsidRPr="000463F6">
        <w:rPr>
          <w:sz w:val="18"/>
          <w:szCs w:val="18"/>
        </w:rPr>
        <w:t>locatieleiding (afdelingsleider en sectordirecteur) op advies van de vergadering</w:t>
      </w:r>
      <w:r w:rsidRPr="000463F6">
        <w:rPr>
          <w:sz w:val="18"/>
          <w:szCs w:val="18"/>
        </w:rPr>
        <w:t xml:space="preserve"> de bevoegdheid een besluit tot ontheffing van de bevorderingsnormen te nemen.</w:t>
      </w:r>
      <w:r w:rsidR="001C6C64" w:rsidRPr="000463F6">
        <w:rPr>
          <w:sz w:val="18"/>
          <w:szCs w:val="18"/>
        </w:rPr>
        <w:t xml:space="preserve"> </w:t>
      </w:r>
    </w:p>
    <w:p w14:paraId="67373420" w14:textId="77777777" w:rsidR="00BE06D2" w:rsidRPr="000463F6" w:rsidRDefault="00BE06D2" w:rsidP="00DB7D77">
      <w:pPr>
        <w:spacing w:line="276" w:lineRule="auto"/>
        <w:jc w:val="both"/>
        <w:rPr>
          <w:sz w:val="18"/>
          <w:szCs w:val="18"/>
        </w:rPr>
      </w:pPr>
      <w:r w:rsidRPr="000463F6">
        <w:rPr>
          <w:sz w:val="18"/>
          <w:szCs w:val="18"/>
        </w:rPr>
        <w:t xml:space="preserve"> </w:t>
      </w:r>
    </w:p>
    <w:p w14:paraId="67373421" w14:textId="77777777" w:rsidR="00BE06D2" w:rsidRPr="000463F6" w:rsidRDefault="00BE06D2" w:rsidP="00DB7D77">
      <w:pPr>
        <w:spacing w:line="276" w:lineRule="auto"/>
        <w:jc w:val="both"/>
        <w:rPr>
          <w:b/>
          <w:color w:val="00A2D3"/>
          <w:sz w:val="18"/>
          <w:szCs w:val="18"/>
        </w:rPr>
      </w:pPr>
      <w:r w:rsidRPr="000463F6">
        <w:rPr>
          <w:b/>
          <w:color w:val="00A2D3"/>
          <w:sz w:val="18"/>
          <w:szCs w:val="18"/>
        </w:rPr>
        <w:t>Verblijfsduur</w:t>
      </w:r>
    </w:p>
    <w:p w14:paraId="67373422" w14:textId="77777777" w:rsidR="009810FF" w:rsidRPr="000463F6" w:rsidRDefault="00BE06D2" w:rsidP="009B5337">
      <w:pPr>
        <w:spacing w:line="276" w:lineRule="auto"/>
        <w:jc w:val="both"/>
        <w:rPr>
          <w:color w:val="FF0000"/>
          <w:sz w:val="18"/>
          <w:szCs w:val="18"/>
        </w:rPr>
      </w:pPr>
      <w:r w:rsidRPr="000463F6">
        <w:rPr>
          <w:sz w:val="18"/>
          <w:szCs w:val="18"/>
        </w:rPr>
        <w:t>De verblijfsduur in het VMBO is maximaal vijf jaar.</w:t>
      </w:r>
    </w:p>
    <w:p w14:paraId="67373423" w14:textId="77777777" w:rsidR="000463F6" w:rsidRDefault="000463F6">
      <w:pPr>
        <w:spacing w:line="259" w:lineRule="auto"/>
        <w:rPr>
          <w:b/>
          <w:color w:val="00A2D3"/>
          <w:sz w:val="26"/>
          <w:szCs w:val="26"/>
        </w:rPr>
      </w:pPr>
      <w:r>
        <w:rPr>
          <w:b/>
          <w:color w:val="00A2D3"/>
          <w:sz w:val="26"/>
          <w:szCs w:val="26"/>
        </w:rPr>
        <w:br w:type="page"/>
      </w:r>
    </w:p>
    <w:p w14:paraId="67373424" w14:textId="77777777" w:rsidR="00BE06D2" w:rsidRPr="00934DA5" w:rsidRDefault="00D536CE" w:rsidP="00BE06D2">
      <w:pPr>
        <w:spacing w:line="276" w:lineRule="auto"/>
        <w:jc w:val="both"/>
        <w:rPr>
          <w:b/>
          <w:color w:val="00A2D3"/>
          <w:sz w:val="26"/>
          <w:szCs w:val="26"/>
        </w:rPr>
      </w:pPr>
      <w:r>
        <w:rPr>
          <w:b/>
          <w:color w:val="00A2D3"/>
          <w:sz w:val="26"/>
          <w:szCs w:val="26"/>
        </w:rPr>
        <w:lastRenderedPageBreak/>
        <w:t>Bevorderingsnorm mavo/havo</w:t>
      </w:r>
    </w:p>
    <w:p w14:paraId="67373425" w14:textId="77777777" w:rsidR="00BE06D2" w:rsidRDefault="00BE06D2" w:rsidP="00BE06D2">
      <w:pPr>
        <w:spacing w:line="276" w:lineRule="auto"/>
        <w:rPr>
          <w:b/>
          <w:szCs w:val="20"/>
        </w:rPr>
      </w:pPr>
    </w:p>
    <w:p w14:paraId="09B93AB7" w14:textId="77777777" w:rsidR="00BF079B" w:rsidRDefault="00BF079B" w:rsidP="00BF079B">
      <w:pPr>
        <w:spacing w:line="276" w:lineRule="auto"/>
        <w:rPr>
          <w:b/>
          <w:szCs w:val="20"/>
        </w:rPr>
      </w:pPr>
      <w:r>
        <w:rPr>
          <w:b/>
          <w:szCs w:val="20"/>
        </w:rPr>
        <w:t>Klas 1 naar 2</w:t>
      </w:r>
    </w:p>
    <w:tbl>
      <w:tblPr>
        <w:tblStyle w:val="Tabelraster"/>
        <w:tblW w:w="9209" w:type="dxa"/>
        <w:tblLook w:val="04A0" w:firstRow="1" w:lastRow="0" w:firstColumn="1" w:lastColumn="0" w:noHBand="0" w:noVBand="1"/>
      </w:tblPr>
      <w:tblGrid>
        <w:gridCol w:w="2830"/>
        <w:gridCol w:w="1985"/>
        <w:gridCol w:w="4394"/>
      </w:tblGrid>
      <w:tr w:rsidR="00BF079B" w:rsidRPr="00CB1B1D" w14:paraId="2F219BCD" w14:textId="77777777" w:rsidTr="000F30DE">
        <w:tc>
          <w:tcPr>
            <w:tcW w:w="2830" w:type="dxa"/>
          </w:tcPr>
          <w:p w14:paraId="220E3D33" w14:textId="77777777" w:rsidR="00BF079B" w:rsidRPr="00CB1B1D" w:rsidRDefault="00BF079B" w:rsidP="000F30DE">
            <w:pPr>
              <w:spacing w:line="276" w:lineRule="auto"/>
              <w:jc w:val="both"/>
              <w:rPr>
                <w:b/>
                <w:color w:val="00A2D3"/>
                <w:szCs w:val="20"/>
              </w:rPr>
            </w:pPr>
            <w:r w:rsidRPr="00CB1B1D">
              <w:rPr>
                <w:b/>
                <w:color w:val="00A2D3"/>
                <w:szCs w:val="20"/>
              </w:rPr>
              <w:t xml:space="preserve">Tekorten </w:t>
            </w:r>
          </w:p>
        </w:tc>
        <w:tc>
          <w:tcPr>
            <w:tcW w:w="1985" w:type="dxa"/>
          </w:tcPr>
          <w:p w14:paraId="174E8248" w14:textId="77777777" w:rsidR="00BF079B" w:rsidRPr="00CB1B1D" w:rsidRDefault="00BF079B" w:rsidP="000F30DE">
            <w:pPr>
              <w:spacing w:line="276" w:lineRule="auto"/>
              <w:jc w:val="both"/>
              <w:rPr>
                <w:b/>
                <w:color w:val="00A2D3"/>
                <w:szCs w:val="20"/>
              </w:rPr>
            </w:pPr>
            <w:r w:rsidRPr="00CB1B1D">
              <w:rPr>
                <w:b/>
                <w:color w:val="00A2D3"/>
                <w:szCs w:val="20"/>
              </w:rPr>
              <w:t>Uitslag</w:t>
            </w:r>
          </w:p>
        </w:tc>
        <w:tc>
          <w:tcPr>
            <w:tcW w:w="4394" w:type="dxa"/>
          </w:tcPr>
          <w:p w14:paraId="39E8B2D6" w14:textId="77777777" w:rsidR="00BF079B" w:rsidRPr="00CB1B1D" w:rsidRDefault="00BF079B" w:rsidP="000F30DE">
            <w:pPr>
              <w:spacing w:line="276" w:lineRule="auto"/>
              <w:jc w:val="both"/>
              <w:rPr>
                <w:b/>
                <w:color w:val="00A2D3"/>
                <w:szCs w:val="20"/>
              </w:rPr>
            </w:pPr>
            <w:r w:rsidRPr="00CB1B1D">
              <w:rPr>
                <w:b/>
                <w:color w:val="00A2D3"/>
                <w:szCs w:val="20"/>
              </w:rPr>
              <w:t>Opmerking</w:t>
            </w:r>
          </w:p>
        </w:tc>
      </w:tr>
      <w:tr w:rsidR="00BF079B" w:rsidRPr="00CB1B1D" w14:paraId="393433F8" w14:textId="77777777" w:rsidTr="000F30DE">
        <w:tc>
          <w:tcPr>
            <w:tcW w:w="2830" w:type="dxa"/>
          </w:tcPr>
          <w:p w14:paraId="3762DC11" w14:textId="77777777" w:rsidR="00BF079B" w:rsidRPr="0005539C" w:rsidRDefault="00BF079B" w:rsidP="000F30DE">
            <w:pPr>
              <w:spacing w:line="276" w:lineRule="auto"/>
              <w:jc w:val="both"/>
              <w:rPr>
                <w:rFonts w:ascii="Arial" w:hAnsi="Arial" w:cs="Arial"/>
                <w:szCs w:val="20"/>
              </w:rPr>
            </w:pPr>
            <w:r>
              <w:rPr>
                <w:szCs w:val="20"/>
              </w:rPr>
              <w:t xml:space="preserve">0, 1 of 2 </w:t>
            </w:r>
            <w:proofErr w:type="spellStart"/>
            <w:r>
              <w:rPr>
                <w:rFonts w:ascii="Arial" w:hAnsi="Arial" w:cs="Arial"/>
                <w:szCs w:val="20"/>
              </w:rPr>
              <w:t>èn</w:t>
            </w:r>
            <w:proofErr w:type="spellEnd"/>
            <w:r>
              <w:rPr>
                <w:rFonts w:ascii="Arial" w:hAnsi="Arial" w:cs="Arial"/>
                <w:szCs w:val="20"/>
              </w:rPr>
              <w:t xml:space="preserve"> 6,0 gem.</w:t>
            </w:r>
          </w:p>
        </w:tc>
        <w:tc>
          <w:tcPr>
            <w:tcW w:w="1985" w:type="dxa"/>
          </w:tcPr>
          <w:p w14:paraId="66A154C9" w14:textId="77777777" w:rsidR="00BF079B" w:rsidRPr="00CB1B1D" w:rsidRDefault="00BF079B" w:rsidP="000F30DE">
            <w:pPr>
              <w:spacing w:line="276" w:lineRule="auto"/>
              <w:jc w:val="both"/>
              <w:rPr>
                <w:szCs w:val="20"/>
              </w:rPr>
            </w:pPr>
            <w:r w:rsidRPr="00CB1B1D">
              <w:rPr>
                <w:szCs w:val="20"/>
              </w:rPr>
              <w:t>Bevorderd</w:t>
            </w:r>
            <w:r>
              <w:rPr>
                <w:szCs w:val="20"/>
              </w:rPr>
              <w:t xml:space="preserve"> naar m2</w:t>
            </w:r>
          </w:p>
        </w:tc>
        <w:tc>
          <w:tcPr>
            <w:tcW w:w="4394" w:type="dxa"/>
          </w:tcPr>
          <w:p w14:paraId="563E9057" w14:textId="77777777" w:rsidR="00BF079B" w:rsidRPr="00CB1B1D" w:rsidRDefault="00BF079B" w:rsidP="000F30DE">
            <w:pPr>
              <w:spacing w:line="276" w:lineRule="auto"/>
              <w:jc w:val="both"/>
              <w:rPr>
                <w:szCs w:val="20"/>
              </w:rPr>
            </w:pPr>
            <w:r>
              <w:rPr>
                <w:szCs w:val="20"/>
              </w:rPr>
              <w:t>Voor de berekening van het gem. gelden de niet afgeronde eindcijfers per vak.</w:t>
            </w:r>
          </w:p>
        </w:tc>
      </w:tr>
      <w:tr w:rsidR="00BF079B" w:rsidRPr="00CB1B1D" w14:paraId="5A4B105A" w14:textId="77777777" w:rsidTr="000F30DE">
        <w:tc>
          <w:tcPr>
            <w:tcW w:w="2830" w:type="dxa"/>
          </w:tcPr>
          <w:p w14:paraId="22BA8D2F" w14:textId="77777777" w:rsidR="00BF079B" w:rsidRPr="00D536CE" w:rsidRDefault="00BF079B" w:rsidP="000F30DE">
            <w:pPr>
              <w:spacing w:line="276" w:lineRule="auto"/>
              <w:jc w:val="both"/>
              <w:rPr>
                <w:rFonts w:cs="Tahoma"/>
                <w:szCs w:val="20"/>
              </w:rPr>
            </w:pPr>
            <w:r>
              <w:rPr>
                <w:rFonts w:cs="Tahoma"/>
                <w:szCs w:val="20"/>
              </w:rPr>
              <w:t xml:space="preserve">0, 1 of 2 </w:t>
            </w:r>
            <w:proofErr w:type="spellStart"/>
            <w:r>
              <w:rPr>
                <w:rFonts w:cs="Tahoma"/>
                <w:szCs w:val="20"/>
              </w:rPr>
              <w:t>èn</w:t>
            </w:r>
            <w:proofErr w:type="spellEnd"/>
            <w:r>
              <w:rPr>
                <w:rFonts w:cs="Tahoma"/>
                <w:szCs w:val="20"/>
              </w:rPr>
              <w:t xml:space="preserve"> 7,5</w:t>
            </w:r>
            <w:r w:rsidRPr="00D536CE">
              <w:rPr>
                <w:rFonts w:cs="Tahoma"/>
                <w:szCs w:val="20"/>
              </w:rPr>
              <w:t xml:space="preserve"> gem.</w:t>
            </w:r>
          </w:p>
        </w:tc>
        <w:tc>
          <w:tcPr>
            <w:tcW w:w="1985" w:type="dxa"/>
          </w:tcPr>
          <w:p w14:paraId="69C7009D" w14:textId="77777777" w:rsidR="00BF079B" w:rsidRPr="00CB1B1D" w:rsidRDefault="00BF079B" w:rsidP="000F30DE">
            <w:pPr>
              <w:spacing w:line="276" w:lineRule="auto"/>
              <w:jc w:val="both"/>
              <w:rPr>
                <w:szCs w:val="20"/>
              </w:rPr>
            </w:pPr>
            <w:r w:rsidRPr="00CB1B1D">
              <w:rPr>
                <w:szCs w:val="20"/>
              </w:rPr>
              <w:t>Bevorderd</w:t>
            </w:r>
            <w:r>
              <w:rPr>
                <w:szCs w:val="20"/>
              </w:rPr>
              <w:t xml:space="preserve"> naar h2</w:t>
            </w:r>
          </w:p>
        </w:tc>
        <w:tc>
          <w:tcPr>
            <w:tcW w:w="4394" w:type="dxa"/>
          </w:tcPr>
          <w:p w14:paraId="126F7E40" w14:textId="77777777" w:rsidR="00BF079B" w:rsidRPr="00CB1B1D" w:rsidRDefault="00BF079B" w:rsidP="000F30DE">
            <w:pPr>
              <w:spacing w:line="276" w:lineRule="auto"/>
              <w:jc w:val="both"/>
              <w:rPr>
                <w:szCs w:val="20"/>
              </w:rPr>
            </w:pPr>
            <w:r>
              <w:rPr>
                <w:szCs w:val="20"/>
              </w:rPr>
              <w:t xml:space="preserve">Doorstromen naar de havo is alleen mogelijk als je mee hebt gedaan aan de verdiepende stof. </w:t>
            </w:r>
          </w:p>
        </w:tc>
      </w:tr>
      <w:tr w:rsidR="00BF079B" w:rsidRPr="00CB1B1D" w14:paraId="4E7397B4" w14:textId="77777777" w:rsidTr="000F30DE">
        <w:tc>
          <w:tcPr>
            <w:tcW w:w="2830" w:type="dxa"/>
          </w:tcPr>
          <w:p w14:paraId="0CBF21E4" w14:textId="77777777" w:rsidR="00BF079B" w:rsidRPr="00D536CE" w:rsidRDefault="00BF079B" w:rsidP="000F30DE">
            <w:pPr>
              <w:spacing w:line="276" w:lineRule="auto"/>
              <w:jc w:val="both"/>
              <w:rPr>
                <w:rFonts w:cs="Tahoma"/>
                <w:szCs w:val="20"/>
              </w:rPr>
            </w:pPr>
            <w:r w:rsidRPr="00D536CE">
              <w:rPr>
                <w:rFonts w:cs="Tahoma"/>
                <w:szCs w:val="20"/>
              </w:rPr>
              <w:t xml:space="preserve">0, 1 of 2 </w:t>
            </w:r>
            <w:proofErr w:type="spellStart"/>
            <w:r w:rsidRPr="00D536CE">
              <w:rPr>
                <w:rFonts w:cs="Tahoma"/>
                <w:szCs w:val="20"/>
              </w:rPr>
              <w:t>èn</w:t>
            </w:r>
            <w:proofErr w:type="spellEnd"/>
            <w:r w:rsidRPr="00D536CE">
              <w:rPr>
                <w:rFonts w:cs="Tahoma"/>
                <w:szCs w:val="20"/>
              </w:rPr>
              <w:t xml:space="preserve"> </w:t>
            </w:r>
            <w:r>
              <w:rPr>
                <w:rFonts w:cs="Tahoma"/>
                <w:szCs w:val="20"/>
              </w:rPr>
              <w:t>7,0 – 7,4</w:t>
            </w:r>
            <w:r w:rsidRPr="00D536CE">
              <w:rPr>
                <w:rFonts w:cs="Tahoma"/>
                <w:szCs w:val="20"/>
              </w:rPr>
              <w:t xml:space="preserve"> gem.</w:t>
            </w:r>
          </w:p>
        </w:tc>
        <w:tc>
          <w:tcPr>
            <w:tcW w:w="1985" w:type="dxa"/>
          </w:tcPr>
          <w:p w14:paraId="1B83EF76" w14:textId="77777777" w:rsidR="00BF079B" w:rsidRPr="00CB1B1D" w:rsidRDefault="00BF079B" w:rsidP="000F30DE">
            <w:pPr>
              <w:spacing w:line="276" w:lineRule="auto"/>
              <w:jc w:val="both"/>
              <w:rPr>
                <w:szCs w:val="20"/>
              </w:rPr>
            </w:pPr>
            <w:r>
              <w:rPr>
                <w:szCs w:val="20"/>
              </w:rPr>
              <w:t>Bespreken voor h2</w:t>
            </w:r>
          </w:p>
        </w:tc>
        <w:tc>
          <w:tcPr>
            <w:tcW w:w="4394" w:type="dxa"/>
          </w:tcPr>
          <w:p w14:paraId="2F864E38" w14:textId="77777777" w:rsidR="00BF079B" w:rsidRDefault="00BF079B" w:rsidP="000F30DE">
            <w:pPr>
              <w:spacing w:line="276" w:lineRule="auto"/>
              <w:jc w:val="both"/>
              <w:rPr>
                <w:szCs w:val="20"/>
              </w:rPr>
            </w:pPr>
          </w:p>
        </w:tc>
      </w:tr>
      <w:tr w:rsidR="00BF079B" w:rsidRPr="00CB1B1D" w14:paraId="6A36BC7C" w14:textId="77777777" w:rsidTr="000F30DE">
        <w:tc>
          <w:tcPr>
            <w:tcW w:w="2830" w:type="dxa"/>
          </w:tcPr>
          <w:p w14:paraId="438FBAAB" w14:textId="77777777" w:rsidR="00BF079B" w:rsidRPr="00CB1B1D" w:rsidRDefault="00BF079B" w:rsidP="000F30DE">
            <w:pPr>
              <w:spacing w:line="276" w:lineRule="auto"/>
              <w:jc w:val="both"/>
              <w:rPr>
                <w:szCs w:val="20"/>
              </w:rPr>
            </w:pPr>
            <w:r>
              <w:rPr>
                <w:szCs w:val="20"/>
              </w:rPr>
              <w:t>3 of 4</w:t>
            </w:r>
          </w:p>
        </w:tc>
        <w:tc>
          <w:tcPr>
            <w:tcW w:w="1985" w:type="dxa"/>
          </w:tcPr>
          <w:p w14:paraId="7BF909A2" w14:textId="77777777" w:rsidR="00BF079B" w:rsidRPr="00CB1B1D" w:rsidRDefault="00BF079B" w:rsidP="000F30DE">
            <w:pPr>
              <w:spacing w:line="276" w:lineRule="auto"/>
              <w:jc w:val="both"/>
              <w:rPr>
                <w:szCs w:val="20"/>
              </w:rPr>
            </w:pPr>
            <w:r w:rsidRPr="00CB1B1D">
              <w:rPr>
                <w:szCs w:val="20"/>
              </w:rPr>
              <w:t>Bespreken</w:t>
            </w:r>
            <w:r>
              <w:rPr>
                <w:szCs w:val="20"/>
              </w:rPr>
              <w:t xml:space="preserve"> voor m2</w:t>
            </w:r>
          </w:p>
        </w:tc>
        <w:tc>
          <w:tcPr>
            <w:tcW w:w="4394" w:type="dxa"/>
          </w:tcPr>
          <w:p w14:paraId="1BF3920D" w14:textId="77777777" w:rsidR="00BF079B" w:rsidRPr="00CB1B1D" w:rsidRDefault="00BF079B" w:rsidP="000F30DE">
            <w:pPr>
              <w:spacing w:line="276" w:lineRule="auto"/>
              <w:jc w:val="both"/>
              <w:rPr>
                <w:szCs w:val="20"/>
              </w:rPr>
            </w:pPr>
          </w:p>
        </w:tc>
      </w:tr>
      <w:tr w:rsidR="00BF079B" w:rsidRPr="00CB1B1D" w14:paraId="7EC8A5D9" w14:textId="77777777" w:rsidTr="000F30DE">
        <w:tc>
          <w:tcPr>
            <w:tcW w:w="2830" w:type="dxa"/>
          </w:tcPr>
          <w:p w14:paraId="50E9D0FD" w14:textId="77777777" w:rsidR="00BF079B" w:rsidRPr="00CB1B1D" w:rsidRDefault="00BF079B" w:rsidP="000F30DE">
            <w:pPr>
              <w:spacing w:line="276" w:lineRule="auto"/>
              <w:jc w:val="both"/>
              <w:rPr>
                <w:szCs w:val="20"/>
              </w:rPr>
            </w:pPr>
            <w:r>
              <w:rPr>
                <w:szCs w:val="20"/>
              </w:rPr>
              <w:t>5 of meer</w:t>
            </w:r>
          </w:p>
        </w:tc>
        <w:tc>
          <w:tcPr>
            <w:tcW w:w="1985" w:type="dxa"/>
          </w:tcPr>
          <w:p w14:paraId="350361FD" w14:textId="77777777" w:rsidR="00BF079B" w:rsidRPr="00CB1B1D" w:rsidRDefault="00BF079B" w:rsidP="000F30DE">
            <w:pPr>
              <w:spacing w:line="276" w:lineRule="auto"/>
              <w:jc w:val="both"/>
              <w:rPr>
                <w:szCs w:val="20"/>
              </w:rPr>
            </w:pPr>
            <w:r w:rsidRPr="00CB1B1D">
              <w:rPr>
                <w:szCs w:val="20"/>
              </w:rPr>
              <w:t>Niet bevorderd</w:t>
            </w:r>
          </w:p>
        </w:tc>
        <w:tc>
          <w:tcPr>
            <w:tcW w:w="4394" w:type="dxa"/>
          </w:tcPr>
          <w:p w14:paraId="5DD2E5D9" w14:textId="77777777" w:rsidR="00BF079B" w:rsidRPr="00CB1B1D" w:rsidRDefault="00BF079B" w:rsidP="000F30DE">
            <w:pPr>
              <w:spacing w:line="276" w:lineRule="auto"/>
              <w:jc w:val="both"/>
              <w:rPr>
                <w:szCs w:val="20"/>
              </w:rPr>
            </w:pPr>
          </w:p>
        </w:tc>
      </w:tr>
    </w:tbl>
    <w:p w14:paraId="021DC6B6" w14:textId="77777777" w:rsidR="00BF079B" w:rsidRDefault="00BF079B" w:rsidP="00BF079B">
      <w:pPr>
        <w:pStyle w:val="Koptekst"/>
        <w:tabs>
          <w:tab w:val="left" w:pos="2957"/>
        </w:tabs>
        <w:spacing w:line="276" w:lineRule="auto"/>
        <w:jc w:val="both"/>
        <w:rPr>
          <w:rFonts w:cs="Arial"/>
          <w:sz w:val="19"/>
          <w:szCs w:val="19"/>
        </w:rPr>
      </w:pPr>
    </w:p>
    <w:p w14:paraId="67373440" w14:textId="77777777" w:rsidR="00D536CE" w:rsidRDefault="00D536CE" w:rsidP="00BE06D2">
      <w:pPr>
        <w:spacing w:line="276" w:lineRule="auto"/>
        <w:jc w:val="both"/>
        <w:rPr>
          <w:szCs w:val="20"/>
        </w:rPr>
      </w:pPr>
    </w:p>
    <w:p w14:paraId="67373441" w14:textId="77777777" w:rsidR="00BE06D2" w:rsidRPr="00934DA5" w:rsidRDefault="00D536CE" w:rsidP="00BE06D2">
      <w:pPr>
        <w:spacing w:line="276" w:lineRule="auto"/>
        <w:jc w:val="both"/>
        <w:rPr>
          <w:b/>
          <w:color w:val="00A2D3"/>
          <w:sz w:val="26"/>
          <w:szCs w:val="26"/>
        </w:rPr>
      </w:pPr>
      <w:r>
        <w:rPr>
          <w:b/>
          <w:color w:val="00A2D3"/>
          <w:sz w:val="26"/>
          <w:szCs w:val="26"/>
        </w:rPr>
        <w:t>Bevorderingsnorm mavo</w:t>
      </w:r>
    </w:p>
    <w:p w14:paraId="67373442" w14:textId="77777777" w:rsidR="00BE06D2" w:rsidRPr="00CB1B1D" w:rsidRDefault="00BE06D2" w:rsidP="00BE06D2">
      <w:pPr>
        <w:spacing w:line="276" w:lineRule="auto"/>
        <w:jc w:val="both"/>
        <w:rPr>
          <w:b/>
          <w:color w:val="00A2D3"/>
          <w:szCs w:val="20"/>
        </w:rPr>
      </w:pPr>
    </w:p>
    <w:p w14:paraId="7FB8CC4A" w14:textId="77777777" w:rsidR="00D33C23" w:rsidRDefault="00D33C23" w:rsidP="00D33C23">
      <w:pPr>
        <w:spacing w:line="276" w:lineRule="auto"/>
        <w:rPr>
          <w:b/>
          <w:szCs w:val="20"/>
        </w:rPr>
      </w:pPr>
      <w:r>
        <w:rPr>
          <w:b/>
          <w:szCs w:val="20"/>
        </w:rPr>
        <w:t>Klas 1 naar 2</w:t>
      </w:r>
    </w:p>
    <w:tbl>
      <w:tblPr>
        <w:tblStyle w:val="Tabelraster"/>
        <w:tblW w:w="9209" w:type="dxa"/>
        <w:tblLook w:val="04A0" w:firstRow="1" w:lastRow="0" w:firstColumn="1" w:lastColumn="0" w:noHBand="0" w:noVBand="1"/>
      </w:tblPr>
      <w:tblGrid>
        <w:gridCol w:w="2830"/>
        <w:gridCol w:w="1985"/>
        <w:gridCol w:w="4394"/>
      </w:tblGrid>
      <w:tr w:rsidR="00D33C23" w:rsidRPr="00CB1B1D" w14:paraId="144D6AC2" w14:textId="77777777" w:rsidTr="004C041C">
        <w:tc>
          <w:tcPr>
            <w:tcW w:w="2830" w:type="dxa"/>
          </w:tcPr>
          <w:p w14:paraId="6F821EEE" w14:textId="77777777" w:rsidR="00D33C23" w:rsidRPr="00CB1B1D" w:rsidRDefault="00D33C23" w:rsidP="004C041C">
            <w:pPr>
              <w:spacing w:line="276" w:lineRule="auto"/>
              <w:jc w:val="both"/>
              <w:rPr>
                <w:b/>
                <w:color w:val="00A2D3"/>
                <w:szCs w:val="20"/>
              </w:rPr>
            </w:pPr>
            <w:r w:rsidRPr="00CB1B1D">
              <w:rPr>
                <w:b/>
                <w:color w:val="00A2D3"/>
                <w:szCs w:val="20"/>
              </w:rPr>
              <w:t xml:space="preserve">Tekorten </w:t>
            </w:r>
          </w:p>
        </w:tc>
        <w:tc>
          <w:tcPr>
            <w:tcW w:w="1985" w:type="dxa"/>
          </w:tcPr>
          <w:p w14:paraId="6DE97E87" w14:textId="77777777" w:rsidR="00D33C23" w:rsidRPr="00CB1B1D" w:rsidRDefault="00D33C23" w:rsidP="004C041C">
            <w:pPr>
              <w:spacing w:line="276" w:lineRule="auto"/>
              <w:jc w:val="both"/>
              <w:rPr>
                <w:b/>
                <w:color w:val="00A2D3"/>
                <w:szCs w:val="20"/>
              </w:rPr>
            </w:pPr>
            <w:r w:rsidRPr="00CB1B1D">
              <w:rPr>
                <w:b/>
                <w:color w:val="00A2D3"/>
                <w:szCs w:val="20"/>
              </w:rPr>
              <w:t>Uitslag</w:t>
            </w:r>
          </w:p>
        </w:tc>
        <w:tc>
          <w:tcPr>
            <w:tcW w:w="4394" w:type="dxa"/>
          </w:tcPr>
          <w:p w14:paraId="31A7FACD" w14:textId="77777777" w:rsidR="00D33C23" w:rsidRPr="00CB1B1D" w:rsidRDefault="00D33C23" w:rsidP="004C041C">
            <w:pPr>
              <w:spacing w:line="276" w:lineRule="auto"/>
              <w:jc w:val="both"/>
              <w:rPr>
                <w:b/>
                <w:color w:val="00A2D3"/>
                <w:szCs w:val="20"/>
              </w:rPr>
            </w:pPr>
            <w:r w:rsidRPr="00CB1B1D">
              <w:rPr>
                <w:b/>
                <w:color w:val="00A2D3"/>
                <w:szCs w:val="20"/>
              </w:rPr>
              <w:t>Opmerking</w:t>
            </w:r>
          </w:p>
        </w:tc>
      </w:tr>
      <w:tr w:rsidR="00D33C23" w:rsidRPr="00CB1B1D" w14:paraId="42EA9D9D" w14:textId="77777777" w:rsidTr="004C041C">
        <w:tc>
          <w:tcPr>
            <w:tcW w:w="2830" w:type="dxa"/>
          </w:tcPr>
          <w:p w14:paraId="7905579C" w14:textId="77777777" w:rsidR="00D33C23" w:rsidRPr="0005539C" w:rsidRDefault="00D33C23" w:rsidP="004C041C">
            <w:pPr>
              <w:spacing w:line="276" w:lineRule="auto"/>
              <w:jc w:val="both"/>
              <w:rPr>
                <w:rFonts w:ascii="Arial" w:hAnsi="Arial" w:cs="Arial"/>
                <w:szCs w:val="20"/>
              </w:rPr>
            </w:pPr>
            <w:r>
              <w:rPr>
                <w:szCs w:val="20"/>
              </w:rPr>
              <w:t xml:space="preserve">0, 1 of 2 </w:t>
            </w:r>
            <w:proofErr w:type="spellStart"/>
            <w:r>
              <w:rPr>
                <w:rFonts w:ascii="Arial" w:hAnsi="Arial" w:cs="Arial"/>
                <w:szCs w:val="20"/>
              </w:rPr>
              <w:t>èn</w:t>
            </w:r>
            <w:proofErr w:type="spellEnd"/>
            <w:r>
              <w:rPr>
                <w:rFonts w:ascii="Arial" w:hAnsi="Arial" w:cs="Arial"/>
                <w:szCs w:val="20"/>
              </w:rPr>
              <w:t xml:space="preserve"> 6,0 gem.</w:t>
            </w:r>
          </w:p>
        </w:tc>
        <w:tc>
          <w:tcPr>
            <w:tcW w:w="1985" w:type="dxa"/>
          </w:tcPr>
          <w:p w14:paraId="5CFEF248" w14:textId="77777777" w:rsidR="00D33C23" w:rsidRPr="00CB1B1D" w:rsidRDefault="00D33C23" w:rsidP="004C041C">
            <w:pPr>
              <w:spacing w:line="276" w:lineRule="auto"/>
              <w:jc w:val="both"/>
              <w:rPr>
                <w:szCs w:val="20"/>
              </w:rPr>
            </w:pPr>
            <w:r w:rsidRPr="00CB1B1D">
              <w:rPr>
                <w:szCs w:val="20"/>
              </w:rPr>
              <w:t>Bevorderd</w:t>
            </w:r>
            <w:r>
              <w:rPr>
                <w:szCs w:val="20"/>
              </w:rPr>
              <w:t xml:space="preserve"> naar m2</w:t>
            </w:r>
          </w:p>
        </w:tc>
        <w:tc>
          <w:tcPr>
            <w:tcW w:w="4394" w:type="dxa"/>
          </w:tcPr>
          <w:p w14:paraId="3BA1A2AD" w14:textId="77777777" w:rsidR="00D33C23" w:rsidRPr="00CB1B1D" w:rsidRDefault="00D33C23" w:rsidP="004C041C">
            <w:pPr>
              <w:spacing w:line="276" w:lineRule="auto"/>
              <w:jc w:val="both"/>
              <w:rPr>
                <w:szCs w:val="20"/>
              </w:rPr>
            </w:pPr>
            <w:r>
              <w:rPr>
                <w:szCs w:val="20"/>
              </w:rPr>
              <w:t>Voor de berekening van het gem. gelden de niet afgeronde eindcijfers per vak.</w:t>
            </w:r>
          </w:p>
        </w:tc>
      </w:tr>
      <w:tr w:rsidR="00D33C23" w:rsidRPr="00CB1B1D" w14:paraId="06C5D043" w14:textId="77777777" w:rsidTr="004C041C">
        <w:tc>
          <w:tcPr>
            <w:tcW w:w="2830" w:type="dxa"/>
          </w:tcPr>
          <w:p w14:paraId="3DAD76EA" w14:textId="77777777" w:rsidR="00D33C23" w:rsidRPr="00D536CE" w:rsidRDefault="00D33C23" w:rsidP="004C041C">
            <w:pPr>
              <w:spacing w:line="276" w:lineRule="auto"/>
              <w:jc w:val="both"/>
              <w:rPr>
                <w:rFonts w:cs="Tahoma"/>
                <w:szCs w:val="20"/>
              </w:rPr>
            </w:pPr>
            <w:r>
              <w:rPr>
                <w:rFonts w:cs="Tahoma"/>
                <w:szCs w:val="20"/>
              </w:rPr>
              <w:t xml:space="preserve">0, 1 of 2 </w:t>
            </w:r>
            <w:proofErr w:type="spellStart"/>
            <w:r>
              <w:rPr>
                <w:rFonts w:cs="Tahoma"/>
                <w:szCs w:val="20"/>
              </w:rPr>
              <w:t>èn</w:t>
            </w:r>
            <w:proofErr w:type="spellEnd"/>
            <w:r>
              <w:rPr>
                <w:rFonts w:cs="Tahoma"/>
                <w:szCs w:val="20"/>
              </w:rPr>
              <w:t xml:space="preserve"> 7,5</w:t>
            </w:r>
            <w:r w:rsidRPr="00D536CE">
              <w:rPr>
                <w:rFonts w:cs="Tahoma"/>
                <w:szCs w:val="20"/>
              </w:rPr>
              <w:t xml:space="preserve"> gem.</w:t>
            </w:r>
          </w:p>
        </w:tc>
        <w:tc>
          <w:tcPr>
            <w:tcW w:w="1985" w:type="dxa"/>
          </w:tcPr>
          <w:p w14:paraId="42B7B18B" w14:textId="77777777" w:rsidR="00D33C23" w:rsidRPr="00CB1B1D" w:rsidRDefault="00D33C23" w:rsidP="004C041C">
            <w:pPr>
              <w:spacing w:line="276" w:lineRule="auto"/>
              <w:jc w:val="both"/>
              <w:rPr>
                <w:szCs w:val="20"/>
              </w:rPr>
            </w:pPr>
            <w:r w:rsidRPr="00CB1B1D">
              <w:rPr>
                <w:szCs w:val="20"/>
              </w:rPr>
              <w:t>Bevorderd</w:t>
            </w:r>
            <w:r>
              <w:rPr>
                <w:szCs w:val="20"/>
              </w:rPr>
              <w:t xml:space="preserve"> naar h2</w:t>
            </w:r>
          </w:p>
        </w:tc>
        <w:tc>
          <w:tcPr>
            <w:tcW w:w="4394" w:type="dxa"/>
          </w:tcPr>
          <w:p w14:paraId="1C2306BA" w14:textId="77777777" w:rsidR="00D33C23" w:rsidRPr="00CB1B1D" w:rsidRDefault="00D33C23" w:rsidP="004C041C">
            <w:pPr>
              <w:spacing w:line="276" w:lineRule="auto"/>
              <w:jc w:val="both"/>
              <w:rPr>
                <w:szCs w:val="20"/>
              </w:rPr>
            </w:pPr>
            <w:r>
              <w:rPr>
                <w:szCs w:val="20"/>
              </w:rPr>
              <w:t xml:space="preserve">Doorstromen naar de havo is alleen mogelijk als je mee hebt gedaan aan de verdiepende stof. </w:t>
            </w:r>
          </w:p>
        </w:tc>
      </w:tr>
      <w:tr w:rsidR="00D33C23" w:rsidRPr="00CB1B1D" w14:paraId="417D8567" w14:textId="77777777" w:rsidTr="004C041C">
        <w:tc>
          <w:tcPr>
            <w:tcW w:w="2830" w:type="dxa"/>
          </w:tcPr>
          <w:p w14:paraId="6DD340C7" w14:textId="77777777" w:rsidR="00D33C23" w:rsidRPr="00D536CE" w:rsidRDefault="00D33C23" w:rsidP="004C041C">
            <w:pPr>
              <w:spacing w:line="276" w:lineRule="auto"/>
              <w:jc w:val="both"/>
              <w:rPr>
                <w:rFonts w:cs="Tahoma"/>
                <w:szCs w:val="20"/>
              </w:rPr>
            </w:pPr>
            <w:r w:rsidRPr="00D536CE">
              <w:rPr>
                <w:rFonts w:cs="Tahoma"/>
                <w:szCs w:val="20"/>
              </w:rPr>
              <w:t xml:space="preserve">0, 1 of 2 </w:t>
            </w:r>
            <w:proofErr w:type="spellStart"/>
            <w:r w:rsidRPr="00D536CE">
              <w:rPr>
                <w:rFonts w:cs="Tahoma"/>
                <w:szCs w:val="20"/>
              </w:rPr>
              <w:t>èn</w:t>
            </w:r>
            <w:proofErr w:type="spellEnd"/>
            <w:r w:rsidRPr="00D536CE">
              <w:rPr>
                <w:rFonts w:cs="Tahoma"/>
                <w:szCs w:val="20"/>
              </w:rPr>
              <w:t xml:space="preserve"> </w:t>
            </w:r>
            <w:r>
              <w:rPr>
                <w:rFonts w:cs="Tahoma"/>
                <w:szCs w:val="20"/>
              </w:rPr>
              <w:t>7,0 – 7,4</w:t>
            </w:r>
            <w:r w:rsidRPr="00D536CE">
              <w:rPr>
                <w:rFonts w:cs="Tahoma"/>
                <w:szCs w:val="20"/>
              </w:rPr>
              <w:t xml:space="preserve"> gem.</w:t>
            </w:r>
          </w:p>
        </w:tc>
        <w:tc>
          <w:tcPr>
            <w:tcW w:w="1985" w:type="dxa"/>
          </w:tcPr>
          <w:p w14:paraId="5C68F319" w14:textId="77777777" w:rsidR="00D33C23" w:rsidRPr="00CB1B1D" w:rsidRDefault="00D33C23" w:rsidP="004C041C">
            <w:pPr>
              <w:spacing w:line="276" w:lineRule="auto"/>
              <w:jc w:val="both"/>
              <w:rPr>
                <w:szCs w:val="20"/>
              </w:rPr>
            </w:pPr>
            <w:r>
              <w:rPr>
                <w:szCs w:val="20"/>
              </w:rPr>
              <w:t>Bespreken voor h2</w:t>
            </w:r>
          </w:p>
        </w:tc>
        <w:tc>
          <w:tcPr>
            <w:tcW w:w="4394" w:type="dxa"/>
          </w:tcPr>
          <w:p w14:paraId="4142F9FF" w14:textId="77777777" w:rsidR="00D33C23" w:rsidRDefault="00D33C23" w:rsidP="004C041C">
            <w:pPr>
              <w:spacing w:line="276" w:lineRule="auto"/>
              <w:jc w:val="both"/>
              <w:rPr>
                <w:szCs w:val="20"/>
              </w:rPr>
            </w:pPr>
          </w:p>
        </w:tc>
      </w:tr>
      <w:tr w:rsidR="00D33C23" w:rsidRPr="00CB1B1D" w14:paraId="6E218601" w14:textId="77777777" w:rsidTr="004C041C">
        <w:tc>
          <w:tcPr>
            <w:tcW w:w="2830" w:type="dxa"/>
          </w:tcPr>
          <w:p w14:paraId="07738B20" w14:textId="77777777" w:rsidR="00D33C23" w:rsidRPr="00CB1B1D" w:rsidRDefault="00D33C23" w:rsidP="004C041C">
            <w:pPr>
              <w:spacing w:line="276" w:lineRule="auto"/>
              <w:jc w:val="both"/>
              <w:rPr>
                <w:szCs w:val="20"/>
              </w:rPr>
            </w:pPr>
            <w:r>
              <w:rPr>
                <w:szCs w:val="20"/>
              </w:rPr>
              <w:t>3 of 4</w:t>
            </w:r>
          </w:p>
        </w:tc>
        <w:tc>
          <w:tcPr>
            <w:tcW w:w="1985" w:type="dxa"/>
          </w:tcPr>
          <w:p w14:paraId="76AD01C5" w14:textId="77777777" w:rsidR="00D33C23" w:rsidRPr="00CB1B1D" w:rsidRDefault="00D33C23" w:rsidP="004C041C">
            <w:pPr>
              <w:spacing w:line="276" w:lineRule="auto"/>
              <w:jc w:val="both"/>
              <w:rPr>
                <w:szCs w:val="20"/>
              </w:rPr>
            </w:pPr>
            <w:r w:rsidRPr="00CB1B1D">
              <w:rPr>
                <w:szCs w:val="20"/>
              </w:rPr>
              <w:t>Bespreken</w:t>
            </w:r>
            <w:r>
              <w:rPr>
                <w:szCs w:val="20"/>
              </w:rPr>
              <w:t xml:space="preserve"> voor m2</w:t>
            </w:r>
          </w:p>
        </w:tc>
        <w:tc>
          <w:tcPr>
            <w:tcW w:w="4394" w:type="dxa"/>
          </w:tcPr>
          <w:p w14:paraId="6629D6C7" w14:textId="77777777" w:rsidR="00D33C23" w:rsidRPr="00CB1B1D" w:rsidRDefault="00D33C23" w:rsidP="004C041C">
            <w:pPr>
              <w:spacing w:line="276" w:lineRule="auto"/>
              <w:jc w:val="both"/>
              <w:rPr>
                <w:szCs w:val="20"/>
              </w:rPr>
            </w:pPr>
          </w:p>
        </w:tc>
      </w:tr>
      <w:tr w:rsidR="00D33C23" w:rsidRPr="00CB1B1D" w14:paraId="7ED56B80" w14:textId="77777777" w:rsidTr="004C041C">
        <w:tc>
          <w:tcPr>
            <w:tcW w:w="2830" w:type="dxa"/>
          </w:tcPr>
          <w:p w14:paraId="171EBBEB" w14:textId="77777777" w:rsidR="00D33C23" w:rsidRPr="00CB1B1D" w:rsidRDefault="00D33C23" w:rsidP="004C041C">
            <w:pPr>
              <w:spacing w:line="276" w:lineRule="auto"/>
              <w:jc w:val="both"/>
              <w:rPr>
                <w:szCs w:val="20"/>
              </w:rPr>
            </w:pPr>
            <w:r>
              <w:rPr>
                <w:szCs w:val="20"/>
              </w:rPr>
              <w:t>5 of meer</w:t>
            </w:r>
          </w:p>
        </w:tc>
        <w:tc>
          <w:tcPr>
            <w:tcW w:w="1985" w:type="dxa"/>
          </w:tcPr>
          <w:p w14:paraId="111BDB0D" w14:textId="77777777" w:rsidR="00D33C23" w:rsidRPr="00CB1B1D" w:rsidRDefault="00D33C23" w:rsidP="004C041C">
            <w:pPr>
              <w:spacing w:line="276" w:lineRule="auto"/>
              <w:jc w:val="both"/>
              <w:rPr>
                <w:szCs w:val="20"/>
              </w:rPr>
            </w:pPr>
            <w:r w:rsidRPr="00CB1B1D">
              <w:rPr>
                <w:szCs w:val="20"/>
              </w:rPr>
              <w:t>Niet bevorderd</w:t>
            </w:r>
          </w:p>
        </w:tc>
        <w:tc>
          <w:tcPr>
            <w:tcW w:w="4394" w:type="dxa"/>
          </w:tcPr>
          <w:p w14:paraId="74AF296F" w14:textId="77777777" w:rsidR="00D33C23" w:rsidRPr="00CB1B1D" w:rsidRDefault="00D33C23" w:rsidP="004C041C">
            <w:pPr>
              <w:spacing w:line="276" w:lineRule="auto"/>
              <w:jc w:val="both"/>
              <w:rPr>
                <w:szCs w:val="20"/>
              </w:rPr>
            </w:pPr>
          </w:p>
        </w:tc>
      </w:tr>
    </w:tbl>
    <w:p w14:paraId="5C8A0828" w14:textId="77777777" w:rsidR="00D33C23" w:rsidRDefault="00D33C23" w:rsidP="00D33C23">
      <w:pPr>
        <w:pStyle w:val="Koptekst"/>
        <w:tabs>
          <w:tab w:val="left" w:pos="2957"/>
        </w:tabs>
        <w:spacing w:line="276" w:lineRule="auto"/>
        <w:jc w:val="both"/>
        <w:rPr>
          <w:rFonts w:cs="Arial"/>
          <w:sz w:val="19"/>
          <w:szCs w:val="19"/>
        </w:rPr>
      </w:pPr>
    </w:p>
    <w:p w14:paraId="3667CDB5" w14:textId="77777777" w:rsidR="00D33C23" w:rsidRDefault="00D33C23" w:rsidP="00D33C23">
      <w:pPr>
        <w:pStyle w:val="Koptekst"/>
        <w:tabs>
          <w:tab w:val="left" w:pos="2957"/>
        </w:tabs>
        <w:spacing w:line="276" w:lineRule="auto"/>
        <w:jc w:val="both"/>
        <w:rPr>
          <w:rFonts w:cs="Arial"/>
          <w:sz w:val="19"/>
          <w:szCs w:val="19"/>
        </w:rPr>
      </w:pPr>
    </w:p>
    <w:p w14:paraId="67373454" w14:textId="77777777" w:rsidR="00BE06D2" w:rsidRDefault="00BE06D2" w:rsidP="00BE06D2">
      <w:pPr>
        <w:spacing w:line="276" w:lineRule="auto"/>
        <w:jc w:val="both"/>
        <w:rPr>
          <w:szCs w:val="20"/>
        </w:rPr>
      </w:pPr>
    </w:p>
    <w:p w14:paraId="67373455" w14:textId="77777777" w:rsidR="00BE06D2" w:rsidRPr="00CB1B1D" w:rsidRDefault="00BE06D2" w:rsidP="00BE06D2">
      <w:pPr>
        <w:spacing w:line="276" w:lineRule="auto"/>
        <w:jc w:val="both"/>
        <w:rPr>
          <w:b/>
          <w:szCs w:val="20"/>
        </w:rPr>
      </w:pPr>
      <w:r w:rsidRPr="00CB1B1D">
        <w:rPr>
          <w:b/>
          <w:szCs w:val="20"/>
        </w:rPr>
        <w:t>Klas 2 naar 3</w:t>
      </w:r>
    </w:p>
    <w:tbl>
      <w:tblPr>
        <w:tblStyle w:val="Tabelraster"/>
        <w:tblW w:w="9209" w:type="dxa"/>
        <w:tblLook w:val="04A0" w:firstRow="1" w:lastRow="0" w:firstColumn="1" w:lastColumn="0" w:noHBand="0" w:noVBand="1"/>
      </w:tblPr>
      <w:tblGrid>
        <w:gridCol w:w="2830"/>
        <w:gridCol w:w="1985"/>
        <w:gridCol w:w="4394"/>
      </w:tblGrid>
      <w:tr w:rsidR="00BE06D2" w:rsidRPr="00CB1B1D" w14:paraId="67373459" w14:textId="77777777" w:rsidTr="006E1539">
        <w:tc>
          <w:tcPr>
            <w:tcW w:w="2830" w:type="dxa"/>
          </w:tcPr>
          <w:p w14:paraId="67373456" w14:textId="77777777" w:rsidR="00BE06D2" w:rsidRPr="00CB1B1D" w:rsidRDefault="00BE06D2" w:rsidP="0011735F">
            <w:pPr>
              <w:spacing w:line="276" w:lineRule="auto"/>
              <w:jc w:val="both"/>
              <w:rPr>
                <w:b/>
                <w:color w:val="00A2D3"/>
                <w:szCs w:val="20"/>
              </w:rPr>
            </w:pPr>
            <w:r w:rsidRPr="00CB1B1D">
              <w:rPr>
                <w:b/>
                <w:color w:val="00A2D3"/>
                <w:szCs w:val="20"/>
              </w:rPr>
              <w:t xml:space="preserve">Tekorten </w:t>
            </w:r>
          </w:p>
        </w:tc>
        <w:tc>
          <w:tcPr>
            <w:tcW w:w="1985" w:type="dxa"/>
          </w:tcPr>
          <w:p w14:paraId="67373457" w14:textId="77777777" w:rsidR="00BE06D2" w:rsidRPr="00CB1B1D" w:rsidRDefault="00BE06D2" w:rsidP="0011735F">
            <w:pPr>
              <w:spacing w:line="276" w:lineRule="auto"/>
              <w:jc w:val="both"/>
              <w:rPr>
                <w:b/>
                <w:color w:val="00A2D3"/>
                <w:szCs w:val="20"/>
              </w:rPr>
            </w:pPr>
            <w:r w:rsidRPr="00CB1B1D">
              <w:rPr>
                <w:b/>
                <w:color w:val="00A2D3"/>
                <w:szCs w:val="20"/>
              </w:rPr>
              <w:t>Uitslag</w:t>
            </w:r>
          </w:p>
        </w:tc>
        <w:tc>
          <w:tcPr>
            <w:tcW w:w="4394" w:type="dxa"/>
          </w:tcPr>
          <w:p w14:paraId="67373458" w14:textId="77777777" w:rsidR="00BE06D2" w:rsidRPr="00CB1B1D" w:rsidRDefault="00BE06D2" w:rsidP="0011735F">
            <w:pPr>
              <w:spacing w:line="276" w:lineRule="auto"/>
              <w:jc w:val="both"/>
              <w:rPr>
                <w:b/>
                <w:color w:val="00A2D3"/>
                <w:szCs w:val="20"/>
              </w:rPr>
            </w:pPr>
            <w:r w:rsidRPr="00CB1B1D">
              <w:rPr>
                <w:b/>
                <w:color w:val="00A2D3"/>
                <w:szCs w:val="20"/>
              </w:rPr>
              <w:t>Opmerking</w:t>
            </w:r>
          </w:p>
        </w:tc>
      </w:tr>
      <w:tr w:rsidR="00BE06D2" w:rsidRPr="00CB1B1D" w14:paraId="6737345D" w14:textId="77777777" w:rsidTr="006E1539">
        <w:tc>
          <w:tcPr>
            <w:tcW w:w="2830" w:type="dxa"/>
          </w:tcPr>
          <w:p w14:paraId="6737345A" w14:textId="77777777" w:rsidR="00BE06D2" w:rsidRPr="0005539C" w:rsidRDefault="00BE06D2" w:rsidP="0011735F">
            <w:pPr>
              <w:spacing w:line="276" w:lineRule="auto"/>
              <w:jc w:val="both"/>
              <w:rPr>
                <w:rFonts w:ascii="Arial" w:hAnsi="Arial" w:cs="Arial"/>
                <w:szCs w:val="20"/>
              </w:rPr>
            </w:pPr>
            <w:r>
              <w:rPr>
                <w:szCs w:val="20"/>
              </w:rPr>
              <w:t xml:space="preserve">0, 1 of 2 </w:t>
            </w:r>
            <w:proofErr w:type="spellStart"/>
            <w:r>
              <w:rPr>
                <w:rFonts w:ascii="Arial" w:hAnsi="Arial" w:cs="Arial"/>
                <w:szCs w:val="20"/>
              </w:rPr>
              <w:t>èn</w:t>
            </w:r>
            <w:proofErr w:type="spellEnd"/>
            <w:r>
              <w:rPr>
                <w:rFonts w:ascii="Arial" w:hAnsi="Arial" w:cs="Arial"/>
                <w:szCs w:val="20"/>
              </w:rPr>
              <w:t xml:space="preserve"> 6,0 gem.</w:t>
            </w:r>
          </w:p>
        </w:tc>
        <w:tc>
          <w:tcPr>
            <w:tcW w:w="1985" w:type="dxa"/>
          </w:tcPr>
          <w:p w14:paraId="6737345B" w14:textId="77777777" w:rsidR="00BE06D2" w:rsidRPr="00CB1B1D" w:rsidRDefault="00BE06D2" w:rsidP="0011735F">
            <w:pPr>
              <w:spacing w:line="276" w:lineRule="auto"/>
              <w:jc w:val="both"/>
              <w:rPr>
                <w:szCs w:val="20"/>
              </w:rPr>
            </w:pPr>
            <w:r w:rsidRPr="00CB1B1D">
              <w:rPr>
                <w:szCs w:val="20"/>
              </w:rPr>
              <w:t>Bevorderd</w:t>
            </w:r>
          </w:p>
        </w:tc>
        <w:tc>
          <w:tcPr>
            <w:tcW w:w="4394" w:type="dxa"/>
          </w:tcPr>
          <w:p w14:paraId="6737345C" w14:textId="77777777" w:rsidR="00BE06D2" w:rsidRPr="00CB1B1D" w:rsidRDefault="00BE06D2" w:rsidP="0011735F">
            <w:pPr>
              <w:spacing w:line="276" w:lineRule="auto"/>
              <w:jc w:val="both"/>
              <w:rPr>
                <w:szCs w:val="20"/>
              </w:rPr>
            </w:pPr>
          </w:p>
        </w:tc>
      </w:tr>
      <w:tr w:rsidR="00BE06D2" w:rsidRPr="00CB1B1D" w14:paraId="67373461" w14:textId="77777777" w:rsidTr="006E1539">
        <w:tc>
          <w:tcPr>
            <w:tcW w:w="2830" w:type="dxa"/>
          </w:tcPr>
          <w:p w14:paraId="6737345E" w14:textId="77777777" w:rsidR="00BE06D2" w:rsidRPr="00CB1B1D" w:rsidRDefault="00BE06D2" w:rsidP="0011735F">
            <w:pPr>
              <w:spacing w:line="276" w:lineRule="auto"/>
              <w:jc w:val="both"/>
              <w:rPr>
                <w:szCs w:val="20"/>
              </w:rPr>
            </w:pPr>
            <w:r>
              <w:rPr>
                <w:szCs w:val="20"/>
              </w:rPr>
              <w:t>3 of 4</w:t>
            </w:r>
          </w:p>
        </w:tc>
        <w:tc>
          <w:tcPr>
            <w:tcW w:w="1985" w:type="dxa"/>
          </w:tcPr>
          <w:p w14:paraId="6737345F" w14:textId="77777777" w:rsidR="00BE06D2" w:rsidRPr="00CB1B1D" w:rsidRDefault="00BE06D2" w:rsidP="0011735F">
            <w:pPr>
              <w:spacing w:line="276" w:lineRule="auto"/>
              <w:jc w:val="both"/>
              <w:rPr>
                <w:szCs w:val="20"/>
              </w:rPr>
            </w:pPr>
            <w:r w:rsidRPr="00CB1B1D">
              <w:rPr>
                <w:szCs w:val="20"/>
              </w:rPr>
              <w:t>Bespreken</w:t>
            </w:r>
          </w:p>
        </w:tc>
        <w:tc>
          <w:tcPr>
            <w:tcW w:w="4394" w:type="dxa"/>
          </w:tcPr>
          <w:p w14:paraId="67373460" w14:textId="77777777" w:rsidR="00BE06D2" w:rsidRPr="00CB1B1D" w:rsidRDefault="00BE06D2" w:rsidP="0011735F">
            <w:pPr>
              <w:spacing w:line="276" w:lineRule="auto"/>
              <w:jc w:val="both"/>
              <w:rPr>
                <w:szCs w:val="20"/>
              </w:rPr>
            </w:pPr>
          </w:p>
        </w:tc>
      </w:tr>
      <w:tr w:rsidR="00BE06D2" w:rsidRPr="00CB1B1D" w14:paraId="67373465" w14:textId="77777777" w:rsidTr="006E1539">
        <w:tc>
          <w:tcPr>
            <w:tcW w:w="2830" w:type="dxa"/>
          </w:tcPr>
          <w:p w14:paraId="67373462" w14:textId="77777777" w:rsidR="00BE06D2" w:rsidRPr="00CB1B1D" w:rsidRDefault="00BE06D2" w:rsidP="0011735F">
            <w:pPr>
              <w:spacing w:line="276" w:lineRule="auto"/>
              <w:jc w:val="both"/>
              <w:rPr>
                <w:szCs w:val="20"/>
              </w:rPr>
            </w:pPr>
            <w:r>
              <w:rPr>
                <w:szCs w:val="20"/>
              </w:rPr>
              <w:t>5</w:t>
            </w:r>
            <w:r w:rsidR="00B62264">
              <w:rPr>
                <w:szCs w:val="20"/>
              </w:rPr>
              <w:t xml:space="preserve"> of meer</w:t>
            </w:r>
          </w:p>
        </w:tc>
        <w:tc>
          <w:tcPr>
            <w:tcW w:w="1985" w:type="dxa"/>
          </w:tcPr>
          <w:p w14:paraId="67373463" w14:textId="77777777" w:rsidR="00BE06D2" w:rsidRPr="00CB1B1D" w:rsidRDefault="00BE06D2" w:rsidP="0011735F">
            <w:pPr>
              <w:spacing w:line="276" w:lineRule="auto"/>
              <w:jc w:val="both"/>
              <w:rPr>
                <w:szCs w:val="20"/>
              </w:rPr>
            </w:pPr>
            <w:r w:rsidRPr="00CB1B1D">
              <w:rPr>
                <w:szCs w:val="20"/>
              </w:rPr>
              <w:t>Niet bevorderd</w:t>
            </w:r>
          </w:p>
        </w:tc>
        <w:tc>
          <w:tcPr>
            <w:tcW w:w="4394" w:type="dxa"/>
          </w:tcPr>
          <w:p w14:paraId="67373464" w14:textId="77777777" w:rsidR="00BE06D2" w:rsidRPr="00CB1B1D" w:rsidRDefault="00BE06D2" w:rsidP="0011735F">
            <w:pPr>
              <w:spacing w:line="276" w:lineRule="auto"/>
              <w:jc w:val="both"/>
              <w:rPr>
                <w:szCs w:val="20"/>
              </w:rPr>
            </w:pPr>
          </w:p>
        </w:tc>
      </w:tr>
    </w:tbl>
    <w:p w14:paraId="67373466" w14:textId="77777777" w:rsidR="00BE06D2" w:rsidRDefault="00BE06D2" w:rsidP="00BE06D2">
      <w:pPr>
        <w:spacing w:line="276" w:lineRule="auto"/>
        <w:jc w:val="both"/>
        <w:rPr>
          <w:szCs w:val="20"/>
        </w:rPr>
      </w:pPr>
    </w:p>
    <w:p w14:paraId="67373467" w14:textId="77777777" w:rsidR="00BE06D2" w:rsidRPr="00CB1B1D" w:rsidRDefault="00BE06D2" w:rsidP="00BE06D2">
      <w:pPr>
        <w:spacing w:line="276" w:lineRule="auto"/>
        <w:jc w:val="both"/>
        <w:rPr>
          <w:b/>
          <w:szCs w:val="20"/>
        </w:rPr>
      </w:pPr>
      <w:r w:rsidRPr="00CB1B1D">
        <w:rPr>
          <w:b/>
          <w:szCs w:val="20"/>
        </w:rPr>
        <w:t>Klas 3 naar 4</w:t>
      </w:r>
    </w:p>
    <w:tbl>
      <w:tblPr>
        <w:tblStyle w:val="Tabelraster"/>
        <w:tblW w:w="9209" w:type="dxa"/>
        <w:tblLook w:val="04A0" w:firstRow="1" w:lastRow="0" w:firstColumn="1" w:lastColumn="0" w:noHBand="0" w:noVBand="1"/>
      </w:tblPr>
      <w:tblGrid>
        <w:gridCol w:w="2830"/>
        <w:gridCol w:w="1985"/>
        <w:gridCol w:w="4394"/>
      </w:tblGrid>
      <w:tr w:rsidR="00BE06D2" w:rsidRPr="00CB1B1D" w14:paraId="6737346B" w14:textId="77777777" w:rsidTr="006E1539">
        <w:tc>
          <w:tcPr>
            <w:tcW w:w="2830" w:type="dxa"/>
          </w:tcPr>
          <w:p w14:paraId="67373468" w14:textId="77777777" w:rsidR="00BE06D2" w:rsidRPr="00CB1B1D" w:rsidRDefault="00BE06D2" w:rsidP="0011735F">
            <w:pPr>
              <w:spacing w:line="276" w:lineRule="auto"/>
              <w:rPr>
                <w:b/>
                <w:color w:val="00A2D3"/>
                <w:szCs w:val="20"/>
              </w:rPr>
            </w:pPr>
            <w:r w:rsidRPr="00CB1B1D">
              <w:rPr>
                <w:b/>
                <w:color w:val="00A2D3"/>
                <w:szCs w:val="20"/>
              </w:rPr>
              <w:t>Tekorten</w:t>
            </w:r>
          </w:p>
        </w:tc>
        <w:tc>
          <w:tcPr>
            <w:tcW w:w="1985" w:type="dxa"/>
          </w:tcPr>
          <w:p w14:paraId="67373469" w14:textId="77777777" w:rsidR="00BE06D2" w:rsidRPr="00CB1B1D" w:rsidRDefault="00BE06D2" w:rsidP="0011735F">
            <w:pPr>
              <w:spacing w:line="276" w:lineRule="auto"/>
              <w:jc w:val="both"/>
              <w:rPr>
                <w:b/>
                <w:color w:val="00A2D3"/>
                <w:szCs w:val="20"/>
              </w:rPr>
            </w:pPr>
            <w:r w:rsidRPr="00CB1B1D">
              <w:rPr>
                <w:b/>
                <w:color w:val="00A2D3"/>
                <w:szCs w:val="20"/>
              </w:rPr>
              <w:t>Uitslag</w:t>
            </w:r>
          </w:p>
        </w:tc>
        <w:tc>
          <w:tcPr>
            <w:tcW w:w="4394" w:type="dxa"/>
          </w:tcPr>
          <w:p w14:paraId="6737346A" w14:textId="77777777" w:rsidR="00BE06D2" w:rsidRPr="00CB1B1D" w:rsidRDefault="00BE06D2" w:rsidP="0011735F">
            <w:pPr>
              <w:spacing w:line="276" w:lineRule="auto"/>
              <w:jc w:val="both"/>
              <w:rPr>
                <w:b/>
                <w:color w:val="00A2D3"/>
                <w:szCs w:val="20"/>
              </w:rPr>
            </w:pPr>
            <w:r w:rsidRPr="00CB1B1D">
              <w:rPr>
                <w:b/>
                <w:color w:val="00A2D3"/>
                <w:szCs w:val="20"/>
              </w:rPr>
              <w:t>Opmerking</w:t>
            </w:r>
          </w:p>
        </w:tc>
      </w:tr>
      <w:tr w:rsidR="00BE06D2" w:rsidRPr="00CB1B1D" w14:paraId="6737346F" w14:textId="77777777" w:rsidTr="006E1539">
        <w:tc>
          <w:tcPr>
            <w:tcW w:w="2830" w:type="dxa"/>
          </w:tcPr>
          <w:p w14:paraId="6737346C" w14:textId="77777777" w:rsidR="00BE06D2" w:rsidRPr="00CB1B1D" w:rsidRDefault="00BE06D2" w:rsidP="0011735F">
            <w:pPr>
              <w:spacing w:line="276" w:lineRule="auto"/>
              <w:rPr>
                <w:szCs w:val="20"/>
              </w:rPr>
            </w:pPr>
            <w:r w:rsidRPr="00CB1B1D">
              <w:rPr>
                <w:szCs w:val="20"/>
              </w:rPr>
              <w:t>0 of 1</w:t>
            </w:r>
          </w:p>
        </w:tc>
        <w:tc>
          <w:tcPr>
            <w:tcW w:w="1985" w:type="dxa"/>
          </w:tcPr>
          <w:p w14:paraId="6737346D" w14:textId="77777777" w:rsidR="00BE06D2" w:rsidRPr="00CB1B1D" w:rsidRDefault="00BE06D2" w:rsidP="0011735F">
            <w:pPr>
              <w:spacing w:line="276" w:lineRule="auto"/>
              <w:jc w:val="both"/>
              <w:rPr>
                <w:szCs w:val="20"/>
              </w:rPr>
            </w:pPr>
            <w:r w:rsidRPr="00CB1B1D">
              <w:rPr>
                <w:szCs w:val="20"/>
              </w:rPr>
              <w:t>Bevorderd</w:t>
            </w:r>
          </w:p>
        </w:tc>
        <w:tc>
          <w:tcPr>
            <w:tcW w:w="4394" w:type="dxa"/>
          </w:tcPr>
          <w:p w14:paraId="6737346E" w14:textId="77777777" w:rsidR="00BE06D2" w:rsidRPr="00CB1B1D" w:rsidRDefault="00BE06D2" w:rsidP="0011735F">
            <w:pPr>
              <w:spacing w:line="276" w:lineRule="auto"/>
              <w:jc w:val="both"/>
              <w:rPr>
                <w:szCs w:val="20"/>
              </w:rPr>
            </w:pPr>
          </w:p>
        </w:tc>
      </w:tr>
      <w:tr w:rsidR="00BE06D2" w:rsidRPr="00CB1B1D" w14:paraId="67373473" w14:textId="77777777" w:rsidTr="006E1539">
        <w:tc>
          <w:tcPr>
            <w:tcW w:w="2830" w:type="dxa"/>
          </w:tcPr>
          <w:p w14:paraId="67373470" w14:textId="77777777" w:rsidR="00BE06D2" w:rsidRPr="00CB1B1D" w:rsidRDefault="00BE06D2" w:rsidP="0011735F">
            <w:pPr>
              <w:spacing w:line="276" w:lineRule="auto"/>
              <w:rPr>
                <w:szCs w:val="20"/>
              </w:rPr>
            </w:pPr>
            <w:r w:rsidRPr="00CB1B1D">
              <w:rPr>
                <w:szCs w:val="20"/>
              </w:rPr>
              <w:t>2 of 3</w:t>
            </w:r>
          </w:p>
        </w:tc>
        <w:tc>
          <w:tcPr>
            <w:tcW w:w="1985" w:type="dxa"/>
          </w:tcPr>
          <w:p w14:paraId="67373471" w14:textId="77777777" w:rsidR="00BE06D2" w:rsidRPr="00CB1B1D" w:rsidRDefault="00BE06D2" w:rsidP="0011735F">
            <w:pPr>
              <w:spacing w:line="276" w:lineRule="auto"/>
              <w:jc w:val="both"/>
              <w:rPr>
                <w:szCs w:val="20"/>
              </w:rPr>
            </w:pPr>
            <w:r w:rsidRPr="00CB1B1D">
              <w:rPr>
                <w:szCs w:val="20"/>
              </w:rPr>
              <w:t>Bespreken</w:t>
            </w:r>
          </w:p>
        </w:tc>
        <w:tc>
          <w:tcPr>
            <w:tcW w:w="4394" w:type="dxa"/>
          </w:tcPr>
          <w:p w14:paraId="67373472" w14:textId="77777777" w:rsidR="00BE06D2" w:rsidRPr="00CB1B1D" w:rsidRDefault="00BE06D2" w:rsidP="00B62264">
            <w:pPr>
              <w:spacing w:line="276" w:lineRule="auto"/>
              <w:jc w:val="both"/>
              <w:rPr>
                <w:szCs w:val="20"/>
              </w:rPr>
            </w:pPr>
            <w:r>
              <w:rPr>
                <w:szCs w:val="20"/>
              </w:rPr>
              <w:t>Compensatie</w:t>
            </w:r>
            <w:r w:rsidR="00B62264">
              <w:rPr>
                <w:szCs w:val="20"/>
              </w:rPr>
              <w:t>punt(en) nodig, zie toelichting.*</w:t>
            </w:r>
            <w:r w:rsidR="009459F3">
              <w:rPr>
                <w:szCs w:val="20"/>
              </w:rPr>
              <w:t>*</w:t>
            </w:r>
          </w:p>
        </w:tc>
      </w:tr>
      <w:tr w:rsidR="00BE06D2" w:rsidRPr="00CB1B1D" w14:paraId="67373477" w14:textId="77777777" w:rsidTr="006E1539">
        <w:tc>
          <w:tcPr>
            <w:tcW w:w="2830" w:type="dxa"/>
          </w:tcPr>
          <w:p w14:paraId="67373474" w14:textId="77777777" w:rsidR="00BE06D2" w:rsidRPr="00CB1B1D" w:rsidRDefault="00BE06D2" w:rsidP="0011735F">
            <w:pPr>
              <w:spacing w:line="276" w:lineRule="auto"/>
              <w:rPr>
                <w:szCs w:val="20"/>
              </w:rPr>
            </w:pPr>
            <w:r w:rsidRPr="00CB1B1D">
              <w:rPr>
                <w:szCs w:val="20"/>
              </w:rPr>
              <w:t>4 of meer</w:t>
            </w:r>
          </w:p>
        </w:tc>
        <w:tc>
          <w:tcPr>
            <w:tcW w:w="1985" w:type="dxa"/>
          </w:tcPr>
          <w:p w14:paraId="67373475" w14:textId="77777777" w:rsidR="00BE06D2" w:rsidRPr="00CB1B1D" w:rsidRDefault="00BE06D2" w:rsidP="0011735F">
            <w:pPr>
              <w:spacing w:line="276" w:lineRule="auto"/>
              <w:jc w:val="both"/>
              <w:rPr>
                <w:szCs w:val="20"/>
              </w:rPr>
            </w:pPr>
            <w:r w:rsidRPr="00CB1B1D">
              <w:rPr>
                <w:szCs w:val="20"/>
              </w:rPr>
              <w:t>Niet bevorderd</w:t>
            </w:r>
          </w:p>
        </w:tc>
        <w:tc>
          <w:tcPr>
            <w:tcW w:w="4394" w:type="dxa"/>
          </w:tcPr>
          <w:p w14:paraId="67373476" w14:textId="77777777" w:rsidR="00BE06D2" w:rsidRPr="00CB1B1D" w:rsidRDefault="00BE06D2" w:rsidP="0011735F">
            <w:pPr>
              <w:spacing w:line="276" w:lineRule="auto"/>
              <w:jc w:val="both"/>
              <w:rPr>
                <w:szCs w:val="20"/>
              </w:rPr>
            </w:pPr>
          </w:p>
        </w:tc>
      </w:tr>
    </w:tbl>
    <w:p w14:paraId="67373478" w14:textId="77777777" w:rsidR="00BE06D2" w:rsidRDefault="00BE06D2" w:rsidP="00BE06D2">
      <w:pPr>
        <w:spacing w:line="276" w:lineRule="auto"/>
        <w:jc w:val="both"/>
        <w:rPr>
          <w:szCs w:val="20"/>
        </w:rPr>
      </w:pPr>
    </w:p>
    <w:p w14:paraId="67373479" w14:textId="77777777" w:rsidR="009459F3" w:rsidRDefault="009459F3" w:rsidP="009459F3">
      <w:pPr>
        <w:spacing w:line="276" w:lineRule="auto"/>
        <w:jc w:val="both"/>
        <w:rPr>
          <w:szCs w:val="20"/>
        </w:rPr>
      </w:pPr>
      <w:r w:rsidRPr="009459F3">
        <w:rPr>
          <w:i/>
          <w:szCs w:val="20"/>
        </w:rPr>
        <w:t>* Toelichting</w:t>
      </w:r>
    </w:p>
    <w:p w14:paraId="6737347A" w14:textId="77777777" w:rsidR="009459F3" w:rsidRPr="009459F3" w:rsidRDefault="009459F3" w:rsidP="009459F3">
      <w:pPr>
        <w:spacing w:line="276" w:lineRule="auto"/>
        <w:jc w:val="both"/>
        <w:rPr>
          <w:szCs w:val="20"/>
        </w:rPr>
      </w:pPr>
      <w:r>
        <w:rPr>
          <w:szCs w:val="20"/>
        </w:rPr>
        <w:t xml:space="preserve">Dit vanwege het feit dat de leerlingen die sport volgen deze vakken niet hebben. Het eindgemiddelde is dus voor alle leerlingen gebaseerd op precies dezelfde vakken. </w:t>
      </w:r>
    </w:p>
    <w:p w14:paraId="6737347B" w14:textId="77777777" w:rsidR="009459F3" w:rsidRDefault="009459F3" w:rsidP="00BE06D2">
      <w:pPr>
        <w:spacing w:line="276" w:lineRule="auto"/>
        <w:jc w:val="both"/>
        <w:rPr>
          <w:szCs w:val="20"/>
        </w:rPr>
      </w:pPr>
    </w:p>
    <w:p w14:paraId="6737347C" w14:textId="77777777" w:rsidR="00BE06D2" w:rsidRPr="0004329E" w:rsidRDefault="00B62264" w:rsidP="00BE06D2">
      <w:pPr>
        <w:spacing w:line="276" w:lineRule="auto"/>
        <w:jc w:val="both"/>
        <w:rPr>
          <w:i/>
          <w:szCs w:val="20"/>
        </w:rPr>
      </w:pPr>
      <w:r>
        <w:rPr>
          <w:i/>
          <w:szCs w:val="20"/>
        </w:rPr>
        <w:t>*</w:t>
      </w:r>
      <w:r w:rsidR="009459F3">
        <w:rPr>
          <w:i/>
          <w:szCs w:val="20"/>
        </w:rPr>
        <w:t>*</w:t>
      </w:r>
      <w:r>
        <w:rPr>
          <w:i/>
          <w:szCs w:val="20"/>
        </w:rPr>
        <w:t xml:space="preserve"> </w:t>
      </w:r>
      <w:r w:rsidR="00BE06D2">
        <w:rPr>
          <w:i/>
          <w:szCs w:val="20"/>
        </w:rPr>
        <w:t>Toelichting</w:t>
      </w:r>
      <w:r>
        <w:rPr>
          <w:i/>
          <w:szCs w:val="20"/>
        </w:rPr>
        <w:t xml:space="preserve"> (alleen van toepassing bij bevordering van klas 3 naar 4)</w:t>
      </w:r>
    </w:p>
    <w:p w14:paraId="6737347D" w14:textId="77777777" w:rsidR="00B62264" w:rsidRDefault="00B62264" w:rsidP="00BE06D2">
      <w:pPr>
        <w:spacing w:line="276" w:lineRule="auto"/>
        <w:jc w:val="both"/>
        <w:rPr>
          <w:szCs w:val="20"/>
        </w:rPr>
      </w:pPr>
      <w:r>
        <w:rPr>
          <w:szCs w:val="20"/>
        </w:rPr>
        <w:t>Bij 2 of 3 tekorten mogen er maximaal twee tekorten in examenvak(ken) zijn. Twee tekorten in examenvak(ken) vereist één compensatie in een ander examenvak. Een eventueel derde tekort mag alleen in een niet-examenvak voorkomen</w:t>
      </w:r>
      <w:r w:rsidR="009B5337">
        <w:rPr>
          <w:szCs w:val="20"/>
        </w:rPr>
        <w:t xml:space="preserve"> of in een vak dat een leerling laat vallen</w:t>
      </w:r>
      <w:r>
        <w:rPr>
          <w:szCs w:val="20"/>
        </w:rPr>
        <w:t>.</w:t>
      </w:r>
    </w:p>
    <w:p w14:paraId="6737347E" w14:textId="77777777" w:rsidR="00B62264" w:rsidRPr="002E5939" w:rsidRDefault="00B62264">
      <w:pPr>
        <w:spacing w:line="259" w:lineRule="auto"/>
        <w:rPr>
          <w:color w:val="FF0000"/>
          <w:szCs w:val="20"/>
        </w:rPr>
      </w:pPr>
      <w:r w:rsidRPr="002E5939">
        <w:rPr>
          <w:color w:val="FF0000"/>
          <w:szCs w:val="20"/>
        </w:rPr>
        <w:br w:type="page"/>
      </w:r>
    </w:p>
    <w:p w14:paraId="6737347F" w14:textId="77777777" w:rsidR="00BE06D2" w:rsidRPr="00934DA5" w:rsidRDefault="00D536CE" w:rsidP="00BE06D2">
      <w:pPr>
        <w:spacing w:line="276" w:lineRule="auto"/>
        <w:jc w:val="both"/>
        <w:rPr>
          <w:b/>
          <w:color w:val="00A2D3"/>
          <w:sz w:val="26"/>
          <w:szCs w:val="26"/>
        </w:rPr>
      </w:pPr>
      <w:r>
        <w:rPr>
          <w:b/>
          <w:color w:val="00A2D3"/>
          <w:sz w:val="26"/>
          <w:szCs w:val="26"/>
        </w:rPr>
        <w:lastRenderedPageBreak/>
        <w:t>Bevorderingsnorm b</w:t>
      </w:r>
      <w:r w:rsidR="00BE06D2" w:rsidRPr="00934DA5">
        <w:rPr>
          <w:b/>
          <w:color w:val="00A2D3"/>
          <w:sz w:val="26"/>
          <w:szCs w:val="26"/>
        </w:rPr>
        <w:t xml:space="preserve">asis en </w:t>
      </w:r>
      <w:r>
        <w:rPr>
          <w:b/>
          <w:color w:val="00A2D3"/>
          <w:sz w:val="26"/>
          <w:szCs w:val="26"/>
        </w:rPr>
        <w:t>k</w:t>
      </w:r>
      <w:r w:rsidR="00BE06D2" w:rsidRPr="00934DA5">
        <w:rPr>
          <w:b/>
          <w:color w:val="00A2D3"/>
          <w:sz w:val="26"/>
          <w:szCs w:val="26"/>
        </w:rPr>
        <w:t>ader</w:t>
      </w:r>
    </w:p>
    <w:p w14:paraId="67373480" w14:textId="77777777" w:rsidR="00BE06D2" w:rsidRPr="00CB1B1D" w:rsidRDefault="00BE06D2" w:rsidP="00BE06D2">
      <w:pPr>
        <w:spacing w:line="276" w:lineRule="auto"/>
        <w:jc w:val="both"/>
        <w:rPr>
          <w:b/>
          <w:color w:val="00A2D3"/>
          <w:szCs w:val="20"/>
        </w:rPr>
      </w:pPr>
    </w:p>
    <w:p w14:paraId="67373481" w14:textId="77777777" w:rsidR="00BE06D2" w:rsidRPr="00CB1B1D" w:rsidRDefault="00BE06D2" w:rsidP="00BE06D2">
      <w:pPr>
        <w:spacing w:line="276" w:lineRule="auto"/>
        <w:rPr>
          <w:b/>
          <w:szCs w:val="20"/>
        </w:rPr>
      </w:pPr>
      <w:r w:rsidRPr="00CB1B1D">
        <w:rPr>
          <w:b/>
          <w:szCs w:val="20"/>
        </w:rPr>
        <w:t xml:space="preserve">Klas 1 naar 2 </w:t>
      </w:r>
    </w:p>
    <w:tbl>
      <w:tblPr>
        <w:tblStyle w:val="Tabelraster"/>
        <w:tblW w:w="0" w:type="auto"/>
        <w:tblLook w:val="04A0" w:firstRow="1" w:lastRow="0" w:firstColumn="1" w:lastColumn="0" w:noHBand="0" w:noVBand="1"/>
      </w:tblPr>
      <w:tblGrid>
        <w:gridCol w:w="2122"/>
        <w:gridCol w:w="2268"/>
      </w:tblGrid>
      <w:tr w:rsidR="00BE06D2" w:rsidRPr="00CB1B1D" w14:paraId="67373484" w14:textId="77777777" w:rsidTr="0011735F">
        <w:tc>
          <w:tcPr>
            <w:tcW w:w="2122" w:type="dxa"/>
          </w:tcPr>
          <w:p w14:paraId="67373482" w14:textId="77777777" w:rsidR="00BE06D2" w:rsidRPr="00CB1B1D" w:rsidRDefault="00BE06D2" w:rsidP="0011735F">
            <w:pPr>
              <w:spacing w:line="276" w:lineRule="auto"/>
              <w:jc w:val="both"/>
              <w:rPr>
                <w:b/>
                <w:color w:val="00A2D3"/>
                <w:szCs w:val="20"/>
              </w:rPr>
            </w:pPr>
            <w:r w:rsidRPr="00CB1B1D">
              <w:rPr>
                <w:b/>
                <w:color w:val="00A2D3"/>
                <w:szCs w:val="20"/>
              </w:rPr>
              <w:t xml:space="preserve">Tekorten </w:t>
            </w:r>
          </w:p>
        </w:tc>
        <w:tc>
          <w:tcPr>
            <w:tcW w:w="2268" w:type="dxa"/>
          </w:tcPr>
          <w:p w14:paraId="67373483" w14:textId="77777777" w:rsidR="00BE06D2" w:rsidRPr="00CB1B1D" w:rsidRDefault="00BE06D2" w:rsidP="0011735F">
            <w:pPr>
              <w:spacing w:line="276" w:lineRule="auto"/>
              <w:jc w:val="both"/>
              <w:rPr>
                <w:b/>
                <w:color w:val="00A2D3"/>
                <w:szCs w:val="20"/>
              </w:rPr>
            </w:pPr>
            <w:r w:rsidRPr="00CB1B1D">
              <w:rPr>
                <w:b/>
                <w:color w:val="00A2D3"/>
                <w:szCs w:val="20"/>
              </w:rPr>
              <w:t>Uitslag</w:t>
            </w:r>
          </w:p>
        </w:tc>
      </w:tr>
      <w:tr w:rsidR="00BE06D2" w:rsidRPr="00CB1B1D" w14:paraId="67373487" w14:textId="77777777" w:rsidTr="0011735F">
        <w:tc>
          <w:tcPr>
            <w:tcW w:w="2122" w:type="dxa"/>
          </w:tcPr>
          <w:p w14:paraId="67373485" w14:textId="77777777" w:rsidR="00BE06D2" w:rsidRPr="00CB1B1D" w:rsidRDefault="00BE06D2" w:rsidP="0011735F">
            <w:pPr>
              <w:spacing w:line="276" w:lineRule="auto"/>
              <w:jc w:val="both"/>
              <w:rPr>
                <w:szCs w:val="20"/>
              </w:rPr>
            </w:pPr>
            <w:r>
              <w:rPr>
                <w:szCs w:val="20"/>
              </w:rPr>
              <w:t>0, 1, 2, 3, 4</w:t>
            </w:r>
          </w:p>
        </w:tc>
        <w:tc>
          <w:tcPr>
            <w:tcW w:w="2268" w:type="dxa"/>
          </w:tcPr>
          <w:p w14:paraId="67373486" w14:textId="77777777" w:rsidR="00BE06D2" w:rsidRPr="00CB1B1D" w:rsidRDefault="00BE06D2" w:rsidP="0011735F">
            <w:pPr>
              <w:spacing w:line="276" w:lineRule="auto"/>
              <w:jc w:val="both"/>
              <w:rPr>
                <w:szCs w:val="20"/>
              </w:rPr>
            </w:pPr>
            <w:r w:rsidRPr="00CB1B1D">
              <w:rPr>
                <w:szCs w:val="20"/>
              </w:rPr>
              <w:t>Bevorderd</w:t>
            </w:r>
          </w:p>
        </w:tc>
      </w:tr>
      <w:tr w:rsidR="00BE06D2" w:rsidRPr="00CB1B1D" w14:paraId="6737348A" w14:textId="77777777" w:rsidTr="0011735F">
        <w:tc>
          <w:tcPr>
            <w:tcW w:w="2122" w:type="dxa"/>
          </w:tcPr>
          <w:p w14:paraId="67373488" w14:textId="77777777" w:rsidR="00BE06D2" w:rsidRPr="00CB1B1D" w:rsidRDefault="00BE06D2" w:rsidP="0011735F">
            <w:pPr>
              <w:spacing w:line="276" w:lineRule="auto"/>
              <w:jc w:val="both"/>
              <w:rPr>
                <w:szCs w:val="20"/>
              </w:rPr>
            </w:pPr>
            <w:r>
              <w:rPr>
                <w:szCs w:val="20"/>
              </w:rPr>
              <w:t>5</w:t>
            </w:r>
          </w:p>
        </w:tc>
        <w:tc>
          <w:tcPr>
            <w:tcW w:w="2268" w:type="dxa"/>
          </w:tcPr>
          <w:p w14:paraId="67373489" w14:textId="77777777" w:rsidR="00BE06D2" w:rsidRPr="00CB1B1D" w:rsidRDefault="00BE06D2" w:rsidP="0011735F">
            <w:pPr>
              <w:spacing w:line="276" w:lineRule="auto"/>
              <w:jc w:val="both"/>
              <w:rPr>
                <w:szCs w:val="20"/>
              </w:rPr>
            </w:pPr>
            <w:r w:rsidRPr="00CB1B1D">
              <w:rPr>
                <w:szCs w:val="20"/>
              </w:rPr>
              <w:t>Bespreken</w:t>
            </w:r>
          </w:p>
        </w:tc>
      </w:tr>
      <w:tr w:rsidR="00BE06D2" w:rsidRPr="00CB1B1D" w14:paraId="6737348D" w14:textId="77777777" w:rsidTr="0011735F">
        <w:tc>
          <w:tcPr>
            <w:tcW w:w="2122" w:type="dxa"/>
          </w:tcPr>
          <w:p w14:paraId="6737348B" w14:textId="77777777" w:rsidR="00BE06D2" w:rsidRPr="00CB1B1D" w:rsidRDefault="00BE06D2" w:rsidP="0011735F">
            <w:pPr>
              <w:spacing w:line="276" w:lineRule="auto"/>
              <w:jc w:val="both"/>
              <w:rPr>
                <w:szCs w:val="20"/>
              </w:rPr>
            </w:pPr>
            <w:r>
              <w:rPr>
                <w:szCs w:val="20"/>
              </w:rPr>
              <w:t>6</w:t>
            </w:r>
            <w:r w:rsidR="00B62264">
              <w:rPr>
                <w:szCs w:val="20"/>
              </w:rPr>
              <w:t xml:space="preserve"> of meer</w:t>
            </w:r>
          </w:p>
        </w:tc>
        <w:tc>
          <w:tcPr>
            <w:tcW w:w="2268" w:type="dxa"/>
          </w:tcPr>
          <w:p w14:paraId="6737348C" w14:textId="77777777" w:rsidR="00BE06D2" w:rsidRPr="00CB1B1D" w:rsidRDefault="00BE06D2" w:rsidP="0011735F">
            <w:pPr>
              <w:spacing w:line="276" w:lineRule="auto"/>
              <w:jc w:val="both"/>
              <w:rPr>
                <w:szCs w:val="20"/>
              </w:rPr>
            </w:pPr>
            <w:r w:rsidRPr="00CB1B1D">
              <w:rPr>
                <w:szCs w:val="20"/>
              </w:rPr>
              <w:t>Niet bevorderd</w:t>
            </w:r>
          </w:p>
        </w:tc>
      </w:tr>
    </w:tbl>
    <w:p w14:paraId="6737348E" w14:textId="77777777" w:rsidR="00BE06D2" w:rsidRDefault="00BE06D2" w:rsidP="00BE06D2">
      <w:pPr>
        <w:spacing w:line="276" w:lineRule="auto"/>
        <w:jc w:val="both"/>
        <w:rPr>
          <w:szCs w:val="20"/>
        </w:rPr>
      </w:pPr>
    </w:p>
    <w:p w14:paraId="6737348F" w14:textId="77777777" w:rsidR="002E5939" w:rsidRDefault="002E5939" w:rsidP="00BE06D2">
      <w:pPr>
        <w:spacing w:line="276" w:lineRule="auto"/>
        <w:jc w:val="both"/>
        <w:rPr>
          <w:szCs w:val="20"/>
        </w:rPr>
      </w:pPr>
    </w:p>
    <w:p w14:paraId="67373490" w14:textId="77777777" w:rsidR="00BE06D2" w:rsidRPr="00CB1B1D" w:rsidRDefault="00BE06D2" w:rsidP="00BE06D2">
      <w:pPr>
        <w:spacing w:line="276" w:lineRule="auto"/>
        <w:rPr>
          <w:b/>
          <w:szCs w:val="20"/>
        </w:rPr>
      </w:pPr>
      <w:r w:rsidRPr="00CB1B1D">
        <w:rPr>
          <w:b/>
          <w:szCs w:val="20"/>
        </w:rPr>
        <w:t>Klas 2 naar 3</w:t>
      </w:r>
    </w:p>
    <w:tbl>
      <w:tblPr>
        <w:tblStyle w:val="Tabelraster"/>
        <w:tblW w:w="9209" w:type="dxa"/>
        <w:tblLook w:val="04A0" w:firstRow="1" w:lastRow="0" w:firstColumn="1" w:lastColumn="0" w:noHBand="0" w:noVBand="1"/>
      </w:tblPr>
      <w:tblGrid>
        <w:gridCol w:w="2122"/>
        <w:gridCol w:w="7087"/>
      </w:tblGrid>
      <w:tr w:rsidR="00BE06D2" w:rsidRPr="00CB1B1D" w14:paraId="67373493" w14:textId="77777777" w:rsidTr="00DB7D77">
        <w:tc>
          <w:tcPr>
            <w:tcW w:w="2122" w:type="dxa"/>
          </w:tcPr>
          <w:p w14:paraId="67373491" w14:textId="77777777" w:rsidR="00BE06D2" w:rsidRPr="00CB1B1D" w:rsidRDefault="00BE06D2" w:rsidP="0011735F">
            <w:pPr>
              <w:spacing w:line="276" w:lineRule="auto"/>
              <w:jc w:val="both"/>
              <w:rPr>
                <w:b/>
                <w:color w:val="00A2D3"/>
                <w:szCs w:val="20"/>
              </w:rPr>
            </w:pPr>
            <w:r w:rsidRPr="00CB1B1D">
              <w:rPr>
                <w:b/>
                <w:color w:val="00A2D3"/>
                <w:szCs w:val="20"/>
              </w:rPr>
              <w:t xml:space="preserve">Tekorten </w:t>
            </w:r>
          </w:p>
        </w:tc>
        <w:tc>
          <w:tcPr>
            <w:tcW w:w="7087" w:type="dxa"/>
          </w:tcPr>
          <w:p w14:paraId="67373492" w14:textId="77777777" w:rsidR="00BE06D2" w:rsidRPr="00CB1B1D" w:rsidRDefault="00BE06D2" w:rsidP="0011735F">
            <w:pPr>
              <w:spacing w:line="276" w:lineRule="auto"/>
              <w:jc w:val="both"/>
              <w:rPr>
                <w:b/>
                <w:color w:val="00A2D3"/>
                <w:szCs w:val="20"/>
              </w:rPr>
            </w:pPr>
            <w:r w:rsidRPr="00CB1B1D">
              <w:rPr>
                <w:b/>
                <w:color w:val="00A2D3"/>
                <w:szCs w:val="20"/>
              </w:rPr>
              <w:t>Uitslag</w:t>
            </w:r>
          </w:p>
        </w:tc>
      </w:tr>
      <w:tr w:rsidR="00BE06D2" w:rsidRPr="00CB1B1D" w14:paraId="67373496" w14:textId="77777777" w:rsidTr="00DB7D77">
        <w:tc>
          <w:tcPr>
            <w:tcW w:w="2122" w:type="dxa"/>
          </w:tcPr>
          <w:p w14:paraId="67373494" w14:textId="77777777" w:rsidR="00BE06D2" w:rsidRPr="00CB1B1D" w:rsidRDefault="00BE06D2" w:rsidP="0011735F">
            <w:pPr>
              <w:spacing w:line="276" w:lineRule="auto"/>
              <w:jc w:val="both"/>
              <w:rPr>
                <w:szCs w:val="20"/>
              </w:rPr>
            </w:pPr>
            <w:r>
              <w:rPr>
                <w:szCs w:val="20"/>
              </w:rPr>
              <w:t>0, 1, 2, 3, 4</w:t>
            </w:r>
          </w:p>
        </w:tc>
        <w:tc>
          <w:tcPr>
            <w:tcW w:w="7087" w:type="dxa"/>
          </w:tcPr>
          <w:p w14:paraId="67373495" w14:textId="77777777" w:rsidR="00BE06D2" w:rsidRPr="00CB1B1D" w:rsidRDefault="00BE06D2" w:rsidP="0011735F">
            <w:pPr>
              <w:spacing w:line="276" w:lineRule="auto"/>
              <w:jc w:val="both"/>
              <w:rPr>
                <w:szCs w:val="20"/>
              </w:rPr>
            </w:pPr>
            <w:r w:rsidRPr="00CB1B1D">
              <w:rPr>
                <w:szCs w:val="20"/>
              </w:rPr>
              <w:t>Bevorderd</w:t>
            </w:r>
          </w:p>
        </w:tc>
      </w:tr>
      <w:tr w:rsidR="00BE06D2" w:rsidRPr="00CB1B1D" w14:paraId="67373499" w14:textId="77777777" w:rsidTr="00DB7D77">
        <w:tc>
          <w:tcPr>
            <w:tcW w:w="2122" w:type="dxa"/>
          </w:tcPr>
          <w:p w14:paraId="67373497" w14:textId="77777777" w:rsidR="00BE06D2" w:rsidRPr="00CB1B1D" w:rsidRDefault="00BE06D2" w:rsidP="0011735F">
            <w:pPr>
              <w:spacing w:line="276" w:lineRule="auto"/>
              <w:jc w:val="both"/>
              <w:rPr>
                <w:szCs w:val="20"/>
              </w:rPr>
            </w:pPr>
            <w:r>
              <w:rPr>
                <w:szCs w:val="20"/>
              </w:rPr>
              <w:t>5</w:t>
            </w:r>
          </w:p>
        </w:tc>
        <w:tc>
          <w:tcPr>
            <w:tcW w:w="7087" w:type="dxa"/>
          </w:tcPr>
          <w:p w14:paraId="67373498" w14:textId="77777777" w:rsidR="00BE06D2" w:rsidRPr="00CB1B1D" w:rsidRDefault="00BE06D2" w:rsidP="0011735F">
            <w:pPr>
              <w:spacing w:line="276" w:lineRule="auto"/>
              <w:jc w:val="both"/>
              <w:rPr>
                <w:szCs w:val="20"/>
              </w:rPr>
            </w:pPr>
            <w:r w:rsidRPr="00CB1B1D">
              <w:rPr>
                <w:szCs w:val="20"/>
              </w:rPr>
              <w:t>Bespreken</w:t>
            </w:r>
          </w:p>
        </w:tc>
      </w:tr>
      <w:tr w:rsidR="00BE06D2" w:rsidRPr="00CB1B1D" w14:paraId="6737349C" w14:textId="77777777" w:rsidTr="00DB7D77">
        <w:tc>
          <w:tcPr>
            <w:tcW w:w="2122" w:type="dxa"/>
          </w:tcPr>
          <w:p w14:paraId="6737349A" w14:textId="77777777" w:rsidR="00BE06D2" w:rsidRPr="00CB1B1D" w:rsidRDefault="00BE06D2" w:rsidP="0011735F">
            <w:pPr>
              <w:spacing w:line="276" w:lineRule="auto"/>
              <w:jc w:val="both"/>
              <w:rPr>
                <w:szCs w:val="20"/>
              </w:rPr>
            </w:pPr>
            <w:r>
              <w:rPr>
                <w:szCs w:val="20"/>
              </w:rPr>
              <w:t>6</w:t>
            </w:r>
            <w:r w:rsidR="00B62264">
              <w:rPr>
                <w:szCs w:val="20"/>
              </w:rPr>
              <w:t xml:space="preserve"> of meer</w:t>
            </w:r>
          </w:p>
        </w:tc>
        <w:tc>
          <w:tcPr>
            <w:tcW w:w="7087" w:type="dxa"/>
          </w:tcPr>
          <w:p w14:paraId="6737349B" w14:textId="77777777" w:rsidR="00BE06D2" w:rsidRPr="00CB1B1D" w:rsidRDefault="00BE06D2" w:rsidP="0011735F">
            <w:pPr>
              <w:spacing w:line="276" w:lineRule="auto"/>
              <w:jc w:val="both"/>
              <w:rPr>
                <w:szCs w:val="20"/>
              </w:rPr>
            </w:pPr>
            <w:r w:rsidRPr="00CB1B1D">
              <w:rPr>
                <w:szCs w:val="20"/>
              </w:rPr>
              <w:t>Niet bevorderd</w:t>
            </w:r>
          </w:p>
        </w:tc>
      </w:tr>
      <w:tr w:rsidR="00BE06D2" w:rsidRPr="00CB1B1D" w14:paraId="673734A7" w14:textId="77777777" w:rsidTr="00DB7D77">
        <w:tc>
          <w:tcPr>
            <w:tcW w:w="2122" w:type="dxa"/>
          </w:tcPr>
          <w:p w14:paraId="6737349D" w14:textId="77777777" w:rsidR="00BE06D2" w:rsidRPr="000C0996" w:rsidRDefault="00BE06D2" w:rsidP="0011735F">
            <w:pPr>
              <w:spacing w:line="276" w:lineRule="auto"/>
              <w:rPr>
                <w:b/>
                <w:color w:val="00A2D3"/>
                <w:szCs w:val="20"/>
              </w:rPr>
            </w:pPr>
            <w:r w:rsidRPr="000C0996">
              <w:rPr>
                <w:b/>
                <w:color w:val="00A2D3"/>
                <w:szCs w:val="20"/>
              </w:rPr>
              <w:t>Aanvullende eisen voor KBL3:</w:t>
            </w:r>
          </w:p>
          <w:p w14:paraId="6737349E" w14:textId="77777777" w:rsidR="00BE06D2" w:rsidRPr="002E5939" w:rsidRDefault="00BE06D2" w:rsidP="0011735F">
            <w:pPr>
              <w:spacing w:line="276" w:lineRule="auto"/>
              <w:jc w:val="both"/>
              <w:rPr>
                <w:color w:val="FF0000"/>
                <w:szCs w:val="20"/>
              </w:rPr>
            </w:pPr>
          </w:p>
        </w:tc>
        <w:tc>
          <w:tcPr>
            <w:tcW w:w="7087" w:type="dxa"/>
          </w:tcPr>
          <w:p w14:paraId="6737349F" w14:textId="77777777" w:rsidR="00BE06D2" w:rsidRDefault="00BE06D2" w:rsidP="0011735F">
            <w:pPr>
              <w:spacing w:line="276" w:lineRule="auto"/>
              <w:rPr>
                <w:szCs w:val="20"/>
              </w:rPr>
            </w:pPr>
            <w:r w:rsidRPr="00C06266">
              <w:rPr>
                <w:szCs w:val="20"/>
              </w:rPr>
              <w:t xml:space="preserve">27 punten </w:t>
            </w:r>
            <w:r w:rsidRPr="009B5337">
              <w:rPr>
                <w:szCs w:val="20"/>
              </w:rPr>
              <w:t xml:space="preserve">voor </w:t>
            </w:r>
            <w:r w:rsidR="002E5939" w:rsidRPr="009B5337">
              <w:rPr>
                <w:szCs w:val="20"/>
              </w:rPr>
              <w:t xml:space="preserve">de vier onderstaande </w:t>
            </w:r>
            <w:r w:rsidRPr="009B5337">
              <w:rPr>
                <w:szCs w:val="20"/>
              </w:rPr>
              <w:t>secto</w:t>
            </w:r>
            <w:r w:rsidR="005A7D8A">
              <w:rPr>
                <w:szCs w:val="20"/>
              </w:rPr>
              <w:t>rvakken en niet meer dan één 5,0</w:t>
            </w:r>
            <w:r w:rsidR="00FE4347" w:rsidRPr="009B5337">
              <w:rPr>
                <w:szCs w:val="20"/>
              </w:rPr>
              <w:t xml:space="preserve"> of lager</w:t>
            </w:r>
            <w:r w:rsidRPr="009B5337">
              <w:rPr>
                <w:szCs w:val="20"/>
              </w:rPr>
              <w:t xml:space="preserve"> in </w:t>
            </w:r>
            <w:r w:rsidRPr="00C06266">
              <w:rPr>
                <w:szCs w:val="20"/>
              </w:rPr>
              <w:t>deze vakken</w:t>
            </w:r>
            <w:r>
              <w:rPr>
                <w:szCs w:val="20"/>
              </w:rPr>
              <w:t>:</w:t>
            </w:r>
            <w:r w:rsidR="002E5939">
              <w:rPr>
                <w:szCs w:val="20"/>
              </w:rPr>
              <w:t xml:space="preserve"> </w:t>
            </w:r>
          </w:p>
          <w:p w14:paraId="673734A0" w14:textId="77777777" w:rsidR="009B5337" w:rsidRPr="00C06266" w:rsidRDefault="009B5337" w:rsidP="0011735F">
            <w:pPr>
              <w:spacing w:line="276" w:lineRule="auto"/>
              <w:rPr>
                <w:szCs w:val="20"/>
              </w:rPr>
            </w:pPr>
          </w:p>
          <w:p w14:paraId="673734A1" w14:textId="77777777" w:rsidR="00BE06D2" w:rsidRPr="00C06266" w:rsidRDefault="00BE06D2" w:rsidP="0011735F">
            <w:pPr>
              <w:spacing w:line="276" w:lineRule="auto"/>
              <w:rPr>
                <w:szCs w:val="20"/>
              </w:rPr>
            </w:pPr>
            <w:r>
              <w:rPr>
                <w:szCs w:val="20"/>
              </w:rPr>
              <w:t>Sector techniek:</w:t>
            </w:r>
            <w:r>
              <w:rPr>
                <w:szCs w:val="20"/>
              </w:rPr>
              <w:tab/>
              <w:t xml:space="preserve">ne, en, </w:t>
            </w:r>
            <w:proofErr w:type="spellStart"/>
            <w:r>
              <w:rPr>
                <w:szCs w:val="20"/>
              </w:rPr>
              <w:t>wi</w:t>
            </w:r>
            <w:proofErr w:type="spellEnd"/>
            <w:r>
              <w:rPr>
                <w:szCs w:val="20"/>
              </w:rPr>
              <w:t>, na(ns)</w:t>
            </w:r>
          </w:p>
          <w:p w14:paraId="673734A2" w14:textId="77777777" w:rsidR="00BE06D2" w:rsidRDefault="00BE06D2" w:rsidP="0011735F">
            <w:pPr>
              <w:spacing w:line="276" w:lineRule="auto"/>
              <w:rPr>
                <w:szCs w:val="20"/>
              </w:rPr>
            </w:pPr>
            <w:r w:rsidRPr="00C06266">
              <w:rPr>
                <w:szCs w:val="20"/>
              </w:rPr>
              <w:t>Sector zorg &amp; welzijn:</w:t>
            </w:r>
            <w:r>
              <w:rPr>
                <w:szCs w:val="20"/>
              </w:rPr>
              <w:tab/>
              <w:t xml:space="preserve">ne, en, bi, </w:t>
            </w:r>
            <w:proofErr w:type="spellStart"/>
            <w:r w:rsidR="00DB7D77">
              <w:rPr>
                <w:szCs w:val="20"/>
              </w:rPr>
              <w:t>ak</w:t>
            </w:r>
            <w:proofErr w:type="spellEnd"/>
          </w:p>
          <w:p w14:paraId="673734A3" w14:textId="77777777" w:rsidR="00BE06D2" w:rsidRDefault="00BE06D2" w:rsidP="0011735F">
            <w:pPr>
              <w:spacing w:line="276" w:lineRule="auto"/>
              <w:rPr>
                <w:szCs w:val="20"/>
              </w:rPr>
            </w:pPr>
            <w:r>
              <w:rPr>
                <w:szCs w:val="20"/>
              </w:rPr>
              <w:t>Sector economie:</w:t>
            </w:r>
            <w:r>
              <w:rPr>
                <w:szCs w:val="20"/>
              </w:rPr>
              <w:tab/>
              <w:t xml:space="preserve">ne, en, </w:t>
            </w:r>
            <w:proofErr w:type="spellStart"/>
            <w:r>
              <w:rPr>
                <w:szCs w:val="20"/>
              </w:rPr>
              <w:t>wi</w:t>
            </w:r>
            <w:proofErr w:type="spellEnd"/>
            <w:r>
              <w:rPr>
                <w:szCs w:val="20"/>
              </w:rPr>
              <w:t xml:space="preserve">, </w:t>
            </w:r>
            <w:proofErr w:type="spellStart"/>
            <w:r>
              <w:rPr>
                <w:szCs w:val="20"/>
              </w:rPr>
              <w:t>ec</w:t>
            </w:r>
            <w:proofErr w:type="spellEnd"/>
          </w:p>
          <w:p w14:paraId="673734A4" w14:textId="77777777" w:rsidR="00BE06D2" w:rsidRPr="00C06266" w:rsidRDefault="00BE06D2" w:rsidP="0011735F">
            <w:pPr>
              <w:spacing w:line="276" w:lineRule="auto"/>
              <w:rPr>
                <w:szCs w:val="20"/>
              </w:rPr>
            </w:pPr>
          </w:p>
          <w:p w14:paraId="673734A5" w14:textId="77777777" w:rsidR="00BE06D2" w:rsidRPr="00C06266" w:rsidRDefault="00BE06D2" w:rsidP="0011735F">
            <w:pPr>
              <w:spacing w:line="276" w:lineRule="auto"/>
              <w:rPr>
                <w:szCs w:val="20"/>
              </w:rPr>
            </w:pPr>
            <w:r w:rsidRPr="00C06266">
              <w:rPr>
                <w:szCs w:val="20"/>
              </w:rPr>
              <w:t xml:space="preserve">Let op: Deze eisen worden toegepast op het gewogen gemiddelde bij het 2e rapport. </w:t>
            </w:r>
          </w:p>
          <w:p w14:paraId="673734A6" w14:textId="77777777" w:rsidR="00BE06D2" w:rsidRPr="00CB1B1D" w:rsidRDefault="00BE06D2" w:rsidP="0011735F">
            <w:pPr>
              <w:spacing w:line="276" w:lineRule="auto"/>
              <w:rPr>
                <w:szCs w:val="20"/>
              </w:rPr>
            </w:pPr>
            <w:r w:rsidRPr="00C06266">
              <w:rPr>
                <w:szCs w:val="20"/>
              </w:rPr>
              <w:t xml:space="preserve">Wanneer een leerling bij het 2e rapport het plaatsingsniveau BBL heeft gekregen, maar aan het einde van het schooljaar op het overgangsrapport voldoet aan de aanvullende eisen voor KBL3, dan wordt er via de docentenvergadering een herplaatsing doorgevoerd. </w:t>
            </w:r>
          </w:p>
        </w:tc>
      </w:tr>
    </w:tbl>
    <w:p w14:paraId="673734A8" w14:textId="77777777" w:rsidR="00BE06D2" w:rsidRDefault="00BE06D2" w:rsidP="00BE06D2">
      <w:pPr>
        <w:spacing w:line="276" w:lineRule="auto"/>
        <w:jc w:val="both"/>
        <w:rPr>
          <w:b/>
          <w:color w:val="00A2D3"/>
          <w:szCs w:val="20"/>
        </w:rPr>
      </w:pPr>
    </w:p>
    <w:p w14:paraId="673734A9" w14:textId="77777777" w:rsidR="00BE06D2" w:rsidRPr="00CB1B1D" w:rsidRDefault="00BE06D2" w:rsidP="00BE06D2">
      <w:pPr>
        <w:spacing w:line="276" w:lineRule="auto"/>
        <w:jc w:val="both"/>
        <w:rPr>
          <w:b/>
          <w:szCs w:val="20"/>
        </w:rPr>
      </w:pPr>
      <w:r w:rsidRPr="00CB1B1D">
        <w:rPr>
          <w:b/>
          <w:szCs w:val="20"/>
        </w:rPr>
        <w:t>Klas 3 naar 4</w:t>
      </w:r>
    </w:p>
    <w:tbl>
      <w:tblPr>
        <w:tblStyle w:val="Tabelraster"/>
        <w:tblW w:w="9209" w:type="dxa"/>
        <w:tblLook w:val="04A0" w:firstRow="1" w:lastRow="0" w:firstColumn="1" w:lastColumn="0" w:noHBand="0" w:noVBand="1"/>
      </w:tblPr>
      <w:tblGrid>
        <w:gridCol w:w="2122"/>
        <w:gridCol w:w="2268"/>
        <w:gridCol w:w="4819"/>
      </w:tblGrid>
      <w:tr w:rsidR="00BE06D2" w:rsidRPr="00CB1B1D" w14:paraId="673734AD" w14:textId="77777777" w:rsidTr="0011735F">
        <w:tc>
          <w:tcPr>
            <w:tcW w:w="2122" w:type="dxa"/>
          </w:tcPr>
          <w:p w14:paraId="673734AA" w14:textId="77777777" w:rsidR="00BE06D2" w:rsidRPr="00CB1B1D" w:rsidRDefault="00BE06D2" w:rsidP="0011735F">
            <w:pPr>
              <w:spacing w:line="276" w:lineRule="auto"/>
              <w:rPr>
                <w:b/>
                <w:color w:val="00A2D3"/>
                <w:szCs w:val="20"/>
              </w:rPr>
            </w:pPr>
            <w:r w:rsidRPr="00CB1B1D">
              <w:rPr>
                <w:b/>
                <w:color w:val="00A2D3"/>
                <w:szCs w:val="20"/>
              </w:rPr>
              <w:t>Tekorten</w:t>
            </w:r>
          </w:p>
        </w:tc>
        <w:tc>
          <w:tcPr>
            <w:tcW w:w="2268" w:type="dxa"/>
          </w:tcPr>
          <w:p w14:paraId="673734AB" w14:textId="77777777" w:rsidR="00BE06D2" w:rsidRPr="00CB1B1D" w:rsidRDefault="00BE06D2" w:rsidP="0011735F">
            <w:pPr>
              <w:spacing w:line="276" w:lineRule="auto"/>
              <w:jc w:val="both"/>
              <w:rPr>
                <w:b/>
                <w:color w:val="00A2D3"/>
                <w:szCs w:val="20"/>
              </w:rPr>
            </w:pPr>
            <w:r w:rsidRPr="00CB1B1D">
              <w:rPr>
                <w:b/>
                <w:color w:val="00A2D3"/>
                <w:szCs w:val="20"/>
              </w:rPr>
              <w:t>Uitslag</w:t>
            </w:r>
          </w:p>
        </w:tc>
        <w:tc>
          <w:tcPr>
            <w:tcW w:w="4819" w:type="dxa"/>
          </w:tcPr>
          <w:p w14:paraId="673734AC" w14:textId="77777777" w:rsidR="00BE06D2" w:rsidRPr="00CB1B1D" w:rsidRDefault="00BE06D2" w:rsidP="0011735F">
            <w:pPr>
              <w:spacing w:line="276" w:lineRule="auto"/>
              <w:jc w:val="both"/>
              <w:rPr>
                <w:b/>
                <w:color w:val="00A2D3"/>
                <w:szCs w:val="20"/>
              </w:rPr>
            </w:pPr>
            <w:r w:rsidRPr="00CB1B1D">
              <w:rPr>
                <w:b/>
                <w:color w:val="00A2D3"/>
                <w:szCs w:val="20"/>
              </w:rPr>
              <w:t>Opmerking</w:t>
            </w:r>
          </w:p>
        </w:tc>
      </w:tr>
      <w:tr w:rsidR="00BE06D2" w:rsidRPr="00CB1B1D" w14:paraId="673734B1" w14:textId="77777777" w:rsidTr="0011735F">
        <w:tc>
          <w:tcPr>
            <w:tcW w:w="2122" w:type="dxa"/>
          </w:tcPr>
          <w:p w14:paraId="673734AE" w14:textId="77777777" w:rsidR="00BE06D2" w:rsidRPr="00CB1B1D" w:rsidRDefault="00BE06D2" w:rsidP="0011735F">
            <w:pPr>
              <w:spacing w:line="276" w:lineRule="auto"/>
              <w:rPr>
                <w:szCs w:val="20"/>
              </w:rPr>
            </w:pPr>
            <w:r>
              <w:rPr>
                <w:szCs w:val="20"/>
              </w:rPr>
              <w:t xml:space="preserve">0, </w:t>
            </w:r>
            <w:r w:rsidRPr="00CB1B1D">
              <w:rPr>
                <w:szCs w:val="20"/>
              </w:rPr>
              <w:t>1</w:t>
            </w:r>
            <w:r>
              <w:rPr>
                <w:szCs w:val="20"/>
              </w:rPr>
              <w:t xml:space="preserve"> of 2</w:t>
            </w:r>
          </w:p>
        </w:tc>
        <w:tc>
          <w:tcPr>
            <w:tcW w:w="2268" w:type="dxa"/>
          </w:tcPr>
          <w:p w14:paraId="673734AF" w14:textId="77777777" w:rsidR="00BE06D2" w:rsidRPr="00CB1B1D" w:rsidRDefault="00BE06D2" w:rsidP="0011735F">
            <w:pPr>
              <w:spacing w:line="276" w:lineRule="auto"/>
              <w:jc w:val="both"/>
              <w:rPr>
                <w:szCs w:val="20"/>
              </w:rPr>
            </w:pPr>
            <w:r w:rsidRPr="00CB1B1D">
              <w:rPr>
                <w:szCs w:val="20"/>
              </w:rPr>
              <w:t>Bevorderd</w:t>
            </w:r>
          </w:p>
        </w:tc>
        <w:tc>
          <w:tcPr>
            <w:tcW w:w="4819" w:type="dxa"/>
          </w:tcPr>
          <w:p w14:paraId="673734B0" w14:textId="77777777" w:rsidR="00BE06D2" w:rsidRPr="00CB1B1D" w:rsidRDefault="00BE06D2" w:rsidP="0011735F">
            <w:pPr>
              <w:spacing w:line="276" w:lineRule="auto"/>
              <w:jc w:val="both"/>
              <w:rPr>
                <w:szCs w:val="20"/>
              </w:rPr>
            </w:pPr>
          </w:p>
        </w:tc>
      </w:tr>
      <w:tr w:rsidR="00BE06D2" w:rsidRPr="00CB1B1D" w14:paraId="673734B5" w14:textId="77777777" w:rsidTr="0011735F">
        <w:tc>
          <w:tcPr>
            <w:tcW w:w="2122" w:type="dxa"/>
          </w:tcPr>
          <w:p w14:paraId="673734B2" w14:textId="77777777" w:rsidR="00BE06D2" w:rsidRPr="00CB1B1D" w:rsidRDefault="00BE06D2" w:rsidP="0011735F">
            <w:pPr>
              <w:spacing w:line="276" w:lineRule="auto"/>
              <w:rPr>
                <w:szCs w:val="20"/>
              </w:rPr>
            </w:pPr>
            <w:r w:rsidRPr="00CB1B1D">
              <w:rPr>
                <w:szCs w:val="20"/>
              </w:rPr>
              <w:t>3</w:t>
            </w:r>
          </w:p>
        </w:tc>
        <w:tc>
          <w:tcPr>
            <w:tcW w:w="2268" w:type="dxa"/>
          </w:tcPr>
          <w:p w14:paraId="673734B3" w14:textId="77777777" w:rsidR="00BE06D2" w:rsidRPr="00CB1B1D" w:rsidRDefault="00BE06D2" w:rsidP="0011735F">
            <w:pPr>
              <w:spacing w:line="276" w:lineRule="auto"/>
              <w:jc w:val="both"/>
              <w:rPr>
                <w:szCs w:val="20"/>
              </w:rPr>
            </w:pPr>
            <w:r w:rsidRPr="00CB1B1D">
              <w:rPr>
                <w:szCs w:val="20"/>
              </w:rPr>
              <w:t>Bespreken</w:t>
            </w:r>
          </w:p>
        </w:tc>
        <w:tc>
          <w:tcPr>
            <w:tcW w:w="4819" w:type="dxa"/>
          </w:tcPr>
          <w:p w14:paraId="673734B4" w14:textId="77777777" w:rsidR="00BE06D2" w:rsidRPr="00CB1B1D" w:rsidRDefault="00BE06D2" w:rsidP="0011735F">
            <w:pPr>
              <w:spacing w:line="276" w:lineRule="auto"/>
              <w:jc w:val="both"/>
              <w:rPr>
                <w:szCs w:val="20"/>
              </w:rPr>
            </w:pPr>
            <w:r>
              <w:rPr>
                <w:szCs w:val="20"/>
              </w:rPr>
              <w:t>Compensatiepunt(en) nodig, zie toelichting.</w:t>
            </w:r>
            <w:r w:rsidR="00B62264">
              <w:rPr>
                <w:szCs w:val="20"/>
              </w:rPr>
              <w:t>*</w:t>
            </w:r>
          </w:p>
        </w:tc>
      </w:tr>
      <w:tr w:rsidR="00BE06D2" w:rsidRPr="00CB1B1D" w14:paraId="673734B9" w14:textId="77777777" w:rsidTr="0011735F">
        <w:tc>
          <w:tcPr>
            <w:tcW w:w="2122" w:type="dxa"/>
          </w:tcPr>
          <w:p w14:paraId="673734B6" w14:textId="77777777" w:rsidR="00BE06D2" w:rsidRPr="00CB1B1D" w:rsidRDefault="00BE06D2" w:rsidP="0011735F">
            <w:pPr>
              <w:spacing w:line="276" w:lineRule="auto"/>
              <w:rPr>
                <w:szCs w:val="20"/>
              </w:rPr>
            </w:pPr>
            <w:r w:rsidRPr="00CB1B1D">
              <w:rPr>
                <w:szCs w:val="20"/>
              </w:rPr>
              <w:t>4 of meer</w:t>
            </w:r>
          </w:p>
        </w:tc>
        <w:tc>
          <w:tcPr>
            <w:tcW w:w="2268" w:type="dxa"/>
          </w:tcPr>
          <w:p w14:paraId="673734B7" w14:textId="77777777" w:rsidR="00BE06D2" w:rsidRPr="00CB1B1D" w:rsidRDefault="00BE06D2" w:rsidP="0011735F">
            <w:pPr>
              <w:spacing w:line="276" w:lineRule="auto"/>
              <w:jc w:val="both"/>
              <w:rPr>
                <w:szCs w:val="20"/>
              </w:rPr>
            </w:pPr>
            <w:r w:rsidRPr="00CB1B1D">
              <w:rPr>
                <w:szCs w:val="20"/>
              </w:rPr>
              <w:t>Niet bevorderd</w:t>
            </w:r>
          </w:p>
        </w:tc>
        <w:tc>
          <w:tcPr>
            <w:tcW w:w="4819" w:type="dxa"/>
          </w:tcPr>
          <w:p w14:paraId="673734B8" w14:textId="77777777" w:rsidR="00BE06D2" w:rsidRPr="00CB1B1D" w:rsidRDefault="00BE06D2" w:rsidP="0011735F">
            <w:pPr>
              <w:spacing w:line="276" w:lineRule="auto"/>
              <w:jc w:val="both"/>
              <w:rPr>
                <w:szCs w:val="20"/>
              </w:rPr>
            </w:pPr>
          </w:p>
        </w:tc>
      </w:tr>
    </w:tbl>
    <w:p w14:paraId="673734BA" w14:textId="77777777" w:rsidR="00BE06D2" w:rsidRDefault="00BE06D2" w:rsidP="00BE06D2">
      <w:pPr>
        <w:spacing w:line="276" w:lineRule="auto"/>
        <w:jc w:val="both"/>
        <w:rPr>
          <w:szCs w:val="20"/>
        </w:rPr>
      </w:pPr>
    </w:p>
    <w:p w14:paraId="673734BB" w14:textId="77777777" w:rsidR="00B62264" w:rsidRPr="0004329E" w:rsidRDefault="00B62264" w:rsidP="00B62264">
      <w:pPr>
        <w:spacing w:line="276" w:lineRule="auto"/>
        <w:jc w:val="both"/>
        <w:rPr>
          <w:i/>
          <w:szCs w:val="20"/>
        </w:rPr>
      </w:pPr>
      <w:r>
        <w:rPr>
          <w:i/>
          <w:szCs w:val="20"/>
        </w:rPr>
        <w:t>* Toelichting (alleen van toepassing bij bevordering van klas 3 naar 4)</w:t>
      </w:r>
    </w:p>
    <w:p w14:paraId="673734BC" w14:textId="77777777" w:rsidR="00B62264" w:rsidRDefault="00B62264" w:rsidP="00B62264">
      <w:pPr>
        <w:spacing w:line="276" w:lineRule="auto"/>
        <w:jc w:val="both"/>
        <w:rPr>
          <w:szCs w:val="20"/>
        </w:rPr>
      </w:pPr>
      <w:r>
        <w:rPr>
          <w:szCs w:val="20"/>
        </w:rPr>
        <w:t xml:space="preserve">Bij 2 of 3 tekorten mogen er maximaal twee tekorten in examenvak(ken) zijn. Twee tekorten in examenvak(ken) vereist één compensatie in een ander examenvak. Een eventueel derde tekort mag alleen </w:t>
      </w:r>
      <w:r w:rsidR="009B5337">
        <w:rPr>
          <w:szCs w:val="20"/>
        </w:rPr>
        <w:t>in een niet-examenvak voorkomen of in een vak dat een leerling laat vallen.</w:t>
      </w:r>
    </w:p>
    <w:p w14:paraId="673734BD" w14:textId="77777777" w:rsidR="00BE06D2" w:rsidRDefault="00BE06D2" w:rsidP="00BE06D2">
      <w:pPr>
        <w:spacing w:line="276" w:lineRule="auto"/>
        <w:rPr>
          <w:b/>
          <w:color w:val="00A2D3"/>
          <w:szCs w:val="20"/>
        </w:rPr>
      </w:pPr>
    </w:p>
    <w:sectPr w:rsidR="00BE06D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86975" w14:textId="77777777" w:rsidR="00E22960" w:rsidRDefault="00E22960" w:rsidP="00B62264">
      <w:pPr>
        <w:spacing w:line="240" w:lineRule="auto"/>
      </w:pPr>
      <w:r>
        <w:separator/>
      </w:r>
    </w:p>
  </w:endnote>
  <w:endnote w:type="continuationSeparator" w:id="0">
    <w:p w14:paraId="021D0A93" w14:textId="77777777" w:rsidR="00E22960" w:rsidRDefault="00E22960" w:rsidP="00B622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ahoma"/>
        <w:szCs w:val="20"/>
      </w:rPr>
      <w:id w:val="-2115200430"/>
      <w:docPartObj>
        <w:docPartGallery w:val="Page Numbers (Bottom of Page)"/>
        <w:docPartUnique/>
      </w:docPartObj>
    </w:sdtPr>
    <w:sdtEndPr/>
    <w:sdtContent>
      <w:p w14:paraId="673734C5" w14:textId="77777777" w:rsidR="00660E55" w:rsidRPr="00D536CE" w:rsidRDefault="00660E55">
        <w:pPr>
          <w:pStyle w:val="Voettekst"/>
          <w:jc w:val="right"/>
          <w:rPr>
            <w:rFonts w:cs="Tahoma"/>
            <w:szCs w:val="20"/>
          </w:rPr>
        </w:pPr>
        <w:r w:rsidRPr="00D536CE">
          <w:rPr>
            <w:rFonts w:cs="Tahoma"/>
            <w:szCs w:val="20"/>
          </w:rPr>
          <w:fldChar w:fldCharType="begin"/>
        </w:r>
        <w:r w:rsidRPr="00D536CE">
          <w:rPr>
            <w:rFonts w:cs="Tahoma"/>
            <w:szCs w:val="20"/>
          </w:rPr>
          <w:instrText>PAGE   \* MERGEFORMAT</w:instrText>
        </w:r>
        <w:r w:rsidRPr="00D536CE">
          <w:rPr>
            <w:rFonts w:cs="Tahoma"/>
            <w:szCs w:val="20"/>
          </w:rPr>
          <w:fldChar w:fldCharType="separate"/>
        </w:r>
        <w:r w:rsidR="00A5697F">
          <w:rPr>
            <w:rFonts w:cs="Tahoma"/>
            <w:noProof/>
            <w:szCs w:val="20"/>
          </w:rPr>
          <w:t>3</w:t>
        </w:r>
        <w:r w:rsidRPr="00D536CE">
          <w:rPr>
            <w:rFonts w:cs="Tahoma"/>
            <w:szCs w:val="20"/>
          </w:rPr>
          <w:fldChar w:fldCharType="end"/>
        </w:r>
      </w:p>
    </w:sdtContent>
  </w:sdt>
  <w:p w14:paraId="673734C6" w14:textId="77777777" w:rsidR="00660E55" w:rsidRDefault="00660E5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8C10C" w14:textId="77777777" w:rsidR="00E22960" w:rsidRDefault="00E22960" w:rsidP="00B62264">
      <w:pPr>
        <w:spacing w:line="240" w:lineRule="auto"/>
      </w:pPr>
      <w:r>
        <w:separator/>
      </w:r>
    </w:p>
  </w:footnote>
  <w:footnote w:type="continuationSeparator" w:id="0">
    <w:p w14:paraId="339E1C67" w14:textId="77777777" w:rsidR="00E22960" w:rsidRDefault="00E22960" w:rsidP="00B622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734C4" w14:textId="77777777" w:rsidR="000463F6" w:rsidRDefault="00A5697F">
    <w:pPr>
      <w:pStyle w:val="Koptekst"/>
    </w:pPr>
    <w:r>
      <w:rPr>
        <w:rFonts w:cs="Arial"/>
        <w:b/>
        <w:bCs/>
        <w:noProof/>
        <w:color w:val="00A2D3"/>
        <w:sz w:val="32"/>
        <w:szCs w:val="32"/>
        <w:lang w:eastAsia="nl-NL"/>
      </w:rPr>
      <w:drawing>
        <wp:anchor distT="0" distB="0" distL="114300" distR="114300" simplePos="0" relativeHeight="251659264" behindDoc="0" locked="0" layoutInCell="1" allowOverlap="1" wp14:anchorId="673734C7" wp14:editId="673734C8">
          <wp:simplePos x="0" y="0"/>
          <wp:positionH relativeFrom="margin">
            <wp:align>right</wp:align>
          </wp:positionH>
          <wp:positionV relativeFrom="paragraph">
            <wp:posOffset>110490</wp:posOffset>
          </wp:positionV>
          <wp:extent cx="2727960" cy="584200"/>
          <wp:effectExtent l="0" t="0" r="0" b="6350"/>
          <wp:wrapThrough wrapText="bothSides">
            <wp:wrapPolygon edited="0">
              <wp:start x="0" y="0"/>
              <wp:lineTo x="0" y="21130"/>
              <wp:lineTo x="21419" y="21130"/>
              <wp:lineTo x="21419"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p-logo-2019_f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7960" cy="584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5E4B"/>
    <w:multiLevelType w:val="multilevel"/>
    <w:tmpl w:val="5FBC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D0446D"/>
    <w:multiLevelType w:val="hybridMultilevel"/>
    <w:tmpl w:val="D354E966"/>
    <w:lvl w:ilvl="0" w:tplc="7B9CB68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A55B6F"/>
    <w:multiLevelType w:val="multilevel"/>
    <w:tmpl w:val="FBCC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C02A22"/>
    <w:multiLevelType w:val="hybridMultilevel"/>
    <w:tmpl w:val="F788A030"/>
    <w:lvl w:ilvl="0" w:tplc="A460741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B2112FC"/>
    <w:multiLevelType w:val="hybridMultilevel"/>
    <w:tmpl w:val="271820C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DE80A9D"/>
    <w:multiLevelType w:val="multilevel"/>
    <w:tmpl w:val="99BAE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206A86"/>
    <w:multiLevelType w:val="hybridMultilevel"/>
    <w:tmpl w:val="BF32800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E02"/>
    <w:rsid w:val="000463F6"/>
    <w:rsid w:val="000D7869"/>
    <w:rsid w:val="0011735F"/>
    <w:rsid w:val="001B1403"/>
    <w:rsid w:val="001C6C64"/>
    <w:rsid w:val="001D5CB3"/>
    <w:rsid w:val="002235A6"/>
    <w:rsid w:val="002860CF"/>
    <w:rsid w:val="002B6EFC"/>
    <w:rsid w:val="002D65EB"/>
    <w:rsid w:val="002E5939"/>
    <w:rsid w:val="003469DE"/>
    <w:rsid w:val="003E080B"/>
    <w:rsid w:val="00475D8A"/>
    <w:rsid w:val="004A3663"/>
    <w:rsid w:val="005A7D8A"/>
    <w:rsid w:val="00605E02"/>
    <w:rsid w:val="00617C73"/>
    <w:rsid w:val="006274B2"/>
    <w:rsid w:val="00660422"/>
    <w:rsid w:val="00660E55"/>
    <w:rsid w:val="00673CE3"/>
    <w:rsid w:val="006E1539"/>
    <w:rsid w:val="009459F3"/>
    <w:rsid w:val="009810FF"/>
    <w:rsid w:val="009B5337"/>
    <w:rsid w:val="00A5697F"/>
    <w:rsid w:val="00B62264"/>
    <w:rsid w:val="00B755B8"/>
    <w:rsid w:val="00BC674D"/>
    <w:rsid w:val="00BE06D2"/>
    <w:rsid w:val="00BF079B"/>
    <w:rsid w:val="00CE2FCE"/>
    <w:rsid w:val="00D33C23"/>
    <w:rsid w:val="00D536CE"/>
    <w:rsid w:val="00DB7D77"/>
    <w:rsid w:val="00E22960"/>
    <w:rsid w:val="00E275BA"/>
    <w:rsid w:val="00E7645A"/>
    <w:rsid w:val="00FE43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73400"/>
  <w15:chartTrackingRefBased/>
  <w15:docId w15:val="{02A75B80-E35C-433B-9187-17900EAD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Cs w:val="22"/>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05E02"/>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05E02"/>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605E02"/>
  </w:style>
  <w:style w:type="paragraph" w:styleId="Normaalweb">
    <w:name w:val="Normal (Web)"/>
    <w:basedOn w:val="Standaard"/>
    <w:uiPriority w:val="99"/>
    <w:semiHidden/>
    <w:unhideWhenUsed/>
    <w:rsid w:val="00617C73"/>
    <w:pPr>
      <w:spacing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2860CF"/>
    <w:rPr>
      <w:color w:val="0563C1" w:themeColor="hyperlink"/>
      <w:u w:val="single"/>
    </w:rPr>
  </w:style>
  <w:style w:type="table" w:styleId="Tabelraster">
    <w:name w:val="Table Grid"/>
    <w:basedOn w:val="Standaardtabel"/>
    <w:uiPriority w:val="39"/>
    <w:rsid w:val="00BE06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E06D2"/>
    <w:pPr>
      <w:ind w:left="720"/>
      <w:contextualSpacing/>
    </w:pPr>
  </w:style>
  <w:style w:type="paragraph" w:styleId="Voetnoottekst">
    <w:name w:val="footnote text"/>
    <w:basedOn w:val="Standaard"/>
    <w:link w:val="VoetnoottekstChar"/>
    <w:uiPriority w:val="99"/>
    <w:semiHidden/>
    <w:unhideWhenUsed/>
    <w:rsid w:val="00B62264"/>
    <w:pPr>
      <w:spacing w:line="240" w:lineRule="auto"/>
    </w:pPr>
    <w:rPr>
      <w:szCs w:val="20"/>
    </w:rPr>
  </w:style>
  <w:style w:type="character" w:customStyle="1" w:styleId="VoetnoottekstChar">
    <w:name w:val="Voetnoottekst Char"/>
    <w:basedOn w:val="Standaardalinea-lettertype"/>
    <w:link w:val="Voetnoottekst"/>
    <w:uiPriority w:val="99"/>
    <w:semiHidden/>
    <w:rsid w:val="00B62264"/>
    <w:rPr>
      <w:szCs w:val="20"/>
    </w:rPr>
  </w:style>
  <w:style w:type="character" w:styleId="Voetnootmarkering">
    <w:name w:val="footnote reference"/>
    <w:basedOn w:val="Standaardalinea-lettertype"/>
    <w:uiPriority w:val="99"/>
    <w:semiHidden/>
    <w:unhideWhenUsed/>
    <w:rsid w:val="00B62264"/>
    <w:rPr>
      <w:vertAlign w:val="superscript"/>
    </w:rPr>
  </w:style>
  <w:style w:type="paragraph" w:styleId="Voettekst">
    <w:name w:val="footer"/>
    <w:basedOn w:val="Standaard"/>
    <w:link w:val="VoettekstChar"/>
    <w:uiPriority w:val="99"/>
    <w:unhideWhenUsed/>
    <w:rsid w:val="00D536C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536CE"/>
  </w:style>
  <w:style w:type="paragraph" w:styleId="Ballontekst">
    <w:name w:val="Balloon Text"/>
    <w:basedOn w:val="Standaard"/>
    <w:link w:val="BallontekstChar"/>
    <w:uiPriority w:val="99"/>
    <w:semiHidden/>
    <w:unhideWhenUsed/>
    <w:rsid w:val="000D786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78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28725">
      <w:bodyDiv w:val="1"/>
      <w:marLeft w:val="0"/>
      <w:marRight w:val="0"/>
      <w:marTop w:val="0"/>
      <w:marBottom w:val="0"/>
      <w:divBdr>
        <w:top w:val="none" w:sz="0" w:space="0" w:color="auto"/>
        <w:left w:val="none" w:sz="0" w:space="0" w:color="auto"/>
        <w:bottom w:val="none" w:sz="0" w:space="0" w:color="auto"/>
        <w:right w:val="none" w:sz="0" w:space="0" w:color="auto"/>
      </w:divBdr>
    </w:div>
    <w:div w:id="1898709655">
      <w:bodyDiv w:val="1"/>
      <w:marLeft w:val="0"/>
      <w:marRight w:val="0"/>
      <w:marTop w:val="0"/>
      <w:marBottom w:val="0"/>
      <w:divBdr>
        <w:top w:val="none" w:sz="0" w:space="0" w:color="auto"/>
        <w:left w:val="none" w:sz="0" w:space="0" w:color="auto"/>
        <w:bottom w:val="none" w:sz="0" w:space="0" w:color="auto"/>
        <w:right w:val="none" w:sz="0" w:space="0" w:color="auto"/>
      </w:divBdr>
    </w:div>
    <w:div w:id="189917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B853057B66F48819F0E6CC814BE39" ma:contentTypeVersion="7" ma:contentTypeDescription="Een nieuw document maken." ma:contentTypeScope="" ma:versionID="2b5a25e78040ce83e6b65b0ce65591ef">
  <xsd:schema xmlns:xsd="http://www.w3.org/2001/XMLSchema" xmlns:xs="http://www.w3.org/2001/XMLSchema" xmlns:p="http://schemas.microsoft.com/office/2006/metadata/properties" xmlns:ns3="50bbd9bf-dae9-48f8-9e4c-713a01951946" targetNamespace="http://schemas.microsoft.com/office/2006/metadata/properties" ma:root="true" ma:fieldsID="4c3aaf9936638f82b504afd5b3d261c9" ns3:_="">
    <xsd:import namespace="50bbd9bf-dae9-48f8-9e4c-713a019519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bd9bf-dae9-48f8-9e4c-713a01951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CAB58-77F7-4700-BA51-E86AF60DAE12}">
  <ds:schemaRefs>
    <ds:schemaRef ds:uri="http://schemas.microsoft.com/office/2006/documentManagement/types"/>
    <ds:schemaRef ds:uri="http://schemas.microsoft.com/office/2006/metadata/properties"/>
    <ds:schemaRef ds:uri="http://purl.org/dc/elements/1.1/"/>
    <ds:schemaRef ds:uri="50bbd9bf-dae9-48f8-9e4c-713a01951946"/>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C840B84-B8C1-4E6A-819C-5F9459B89B06}">
  <ds:schemaRefs>
    <ds:schemaRef ds:uri="http://schemas.microsoft.com/sharepoint/v3/contenttype/forms"/>
  </ds:schemaRefs>
</ds:datastoreItem>
</file>

<file path=customXml/itemProps3.xml><?xml version="1.0" encoding="utf-8"?>
<ds:datastoreItem xmlns:ds="http://schemas.openxmlformats.org/officeDocument/2006/customXml" ds:itemID="{16CDF711-4D0E-4974-AA48-6A15B3880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bd9bf-dae9-48f8-9e4c-713a01951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9117F3-F87F-4F82-A04E-09BCF6C27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4836</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CSG De Lage Waard</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1andrevisser@gmail.com</dc:creator>
  <cp:keywords/>
  <dc:description/>
  <cp:lastModifiedBy>Gilst, L.C. van</cp:lastModifiedBy>
  <cp:revision>2</cp:revision>
  <cp:lastPrinted>2018-09-17T13:05:00Z</cp:lastPrinted>
  <dcterms:created xsi:type="dcterms:W3CDTF">2021-01-04T08:01:00Z</dcterms:created>
  <dcterms:modified xsi:type="dcterms:W3CDTF">2021-01-04T08:01:00Z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0x0101001A0B853057B66F48819F0E6CC814BE39</vt:lpwstr>
  </property>
</Properties>
</file>