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B3" w:rsidRDefault="007141B3">
      <w:bookmarkStart w:id="0" w:name="_GoBack"/>
      <w:bookmarkEnd w:id="0"/>
      <w:r w:rsidRPr="00751A5E">
        <w:rPr>
          <w:sz w:val="32"/>
          <w:szCs w:val="32"/>
        </w:rPr>
        <w:t xml:space="preserve">Protocol uitoefening </w:t>
      </w:r>
      <w:proofErr w:type="spellStart"/>
      <w:r w:rsidRPr="00751A5E">
        <w:rPr>
          <w:sz w:val="32"/>
          <w:szCs w:val="32"/>
        </w:rPr>
        <w:t>privacyrechten</w:t>
      </w:r>
      <w:proofErr w:type="spellEnd"/>
      <w:r w:rsidRPr="00751A5E">
        <w:rPr>
          <w:sz w:val="32"/>
          <w:szCs w:val="32"/>
        </w:rPr>
        <w:t xml:space="preserve"> betrokkenen</w:t>
      </w:r>
      <w:r w:rsidRPr="007141B3">
        <w:br/>
      </w:r>
      <w:r>
        <w:br/>
      </w:r>
      <w:r w:rsidR="00444D19">
        <w:t xml:space="preserve">Wanneer een betrokkene zijn </w:t>
      </w:r>
      <w:proofErr w:type="spellStart"/>
      <w:r w:rsidR="00444D19">
        <w:t>privacyrechten</w:t>
      </w:r>
      <w:proofErr w:type="spellEnd"/>
      <w:r w:rsidR="00444D19">
        <w:t xml:space="preserve"> uitoefent, handel dan volgens dit protocol. </w:t>
      </w:r>
      <w:r w:rsidR="00444D19">
        <w:br/>
      </w:r>
      <w:r>
        <w:t>Bij de behandeling van het verzoek word</w:t>
      </w:r>
      <w:r w:rsidR="00751A5E">
        <w:t xml:space="preserve">t </w:t>
      </w:r>
      <w:r>
        <w:t>gehandeld volgens het onderstaande:</w:t>
      </w:r>
    </w:p>
    <w:p w:rsidR="007141B3" w:rsidRDefault="00EA346F" w:rsidP="007141B3">
      <w:pPr>
        <w:pStyle w:val="Lijstalinea"/>
        <w:numPr>
          <w:ilvl w:val="0"/>
          <w:numId w:val="2"/>
        </w:numPr>
      </w:pPr>
      <w:r>
        <w:t xml:space="preserve">De </w:t>
      </w:r>
      <w:r w:rsidR="007141B3">
        <w:t>directeur is verantwoordelijk voor de afhandeling van verzoeken van betrokkenen.</w:t>
      </w:r>
    </w:p>
    <w:p w:rsidR="002F1A78" w:rsidRDefault="002F1A78" w:rsidP="002F1A78">
      <w:pPr>
        <w:pStyle w:val="Lijstalinea"/>
      </w:pPr>
      <w:r>
        <w:t xml:space="preserve">Wanneer de betrokkene een personeelslid lid is, is het bestuur verantwoordelijk. </w:t>
      </w:r>
    </w:p>
    <w:p w:rsidR="00BE717D" w:rsidRDefault="00BE717D" w:rsidP="00BE717D">
      <w:pPr>
        <w:pStyle w:val="Lijstalinea"/>
        <w:numPr>
          <w:ilvl w:val="0"/>
          <w:numId w:val="2"/>
        </w:numPr>
      </w:pPr>
      <w:r>
        <w:t>De betrokkene moet binnen 4 weken na het indienen van zijn verzoek antwoord hebben gekregen. Als dat niet lukt, vraag dan uitstel (van maximaal 8 weken).</w:t>
      </w:r>
    </w:p>
    <w:p w:rsidR="009B48B5" w:rsidRDefault="009B48B5" w:rsidP="009B48B5">
      <w:pPr>
        <w:pStyle w:val="Lijstalinea"/>
        <w:numPr>
          <w:ilvl w:val="0"/>
          <w:numId w:val="2"/>
        </w:numPr>
      </w:pPr>
      <w:r>
        <w:t>Verzoeken van betrokkenen dienen door de daartoe geautoriseerde medewerkers opgevoerd te worden in de toepassing PCC (Privacy Control Center).</w:t>
      </w:r>
    </w:p>
    <w:p w:rsidR="00BE717D" w:rsidRDefault="00BE717D" w:rsidP="007141B3">
      <w:pPr>
        <w:pStyle w:val="Lijstalinea"/>
        <w:numPr>
          <w:ilvl w:val="0"/>
          <w:numId w:val="2"/>
        </w:numPr>
      </w:pPr>
      <w:r>
        <w:t xml:space="preserve">Kijk in het </w:t>
      </w:r>
      <w:r w:rsidRPr="00C24924">
        <w:rPr>
          <w:b/>
        </w:rPr>
        <w:t xml:space="preserve">privacyreglement </w:t>
      </w:r>
      <w:r w:rsidR="00444D19" w:rsidRPr="00C24924">
        <w:rPr>
          <w:b/>
        </w:rPr>
        <w:t>(artikel 15)</w:t>
      </w:r>
      <w:r w:rsidR="00444D19">
        <w:t xml:space="preserve"> </w:t>
      </w:r>
      <w:r>
        <w:t xml:space="preserve">na in welke categorie het verzoek van betrokkene valt en wat hierover vermeld staat. </w:t>
      </w:r>
      <w:r w:rsidR="000E0CB0">
        <w:t xml:space="preserve">Bijvoorbeeld: </w:t>
      </w:r>
      <w:r>
        <w:t>In geval van een inzageverzoek moet behalve inzage ook informatie worden verstrekt (</w:t>
      </w:r>
      <w:r w:rsidR="000E0CB0">
        <w:t>verwerkingsdoeleinden, categorieën van persoonsgegevens enz.)</w:t>
      </w:r>
    </w:p>
    <w:p w:rsidR="007141B3" w:rsidRDefault="007141B3" w:rsidP="007141B3">
      <w:pPr>
        <w:pStyle w:val="Lijstalinea"/>
        <w:numPr>
          <w:ilvl w:val="0"/>
          <w:numId w:val="2"/>
        </w:numPr>
      </w:pPr>
      <w:r>
        <w:t xml:space="preserve">Het verzoek van de betrokkene hoeft niet schriftelijk te zijn, dat mag ook digitaal of zelfs mondeling. Leg voor jezelf wel altijd schriftelijk vast wat het verzoek is, en wanneer </w:t>
      </w:r>
      <w:r w:rsidR="00444D19">
        <w:t>het verzoek</w:t>
      </w:r>
      <w:r>
        <w:t xml:space="preserve"> is ingediend.</w:t>
      </w:r>
    </w:p>
    <w:p w:rsidR="007141B3" w:rsidRDefault="007141B3" w:rsidP="007141B3">
      <w:pPr>
        <w:pStyle w:val="Lijstalinea"/>
        <w:numPr>
          <w:ilvl w:val="0"/>
          <w:numId w:val="2"/>
        </w:numPr>
      </w:pPr>
      <w:r>
        <w:t xml:space="preserve">De identiteit van de verzoeker moet duidelijk zijn, in </w:t>
      </w:r>
      <w:r w:rsidR="00444D19">
        <w:t xml:space="preserve">het </w:t>
      </w:r>
      <w:r>
        <w:t xml:space="preserve">geval </w:t>
      </w:r>
      <w:r w:rsidR="00444D19">
        <w:t xml:space="preserve">dat </w:t>
      </w:r>
      <w:r>
        <w:t>ouders om inzage vragen moet vastgesteld kunnen worden dat het gaat om de wettelijk vertegenwoordigers (ouders moeten het gezag hebben over het kind).</w:t>
      </w:r>
    </w:p>
    <w:p w:rsidR="00751A5E" w:rsidRDefault="00751A5E" w:rsidP="00CD43D0">
      <w:pPr>
        <w:pStyle w:val="Lijstalinea"/>
        <w:numPr>
          <w:ilvl w:val="0"/>
          <w:numId w:val="2"/>
        </w:numPr>
      </w:pPr>
      <w:r>
        <w:t xml:space="preserve">Bedenk dat het altijd gaat om de betrokkene zelf die een verzoek indient om zijn eigen gegevens in te zien. Als de betrokkene jonger is dan 16 jaar, zijn alleen zijn wettelijk vertegenwoordigers bevoegd om een verzoek in te dienen. </w:t>
      </w:r>
    </w:p>
    <w:p w:rsidR="007141B3" w:rsidRDefault="007141B3" w:rsidP="007141B3">
      <w:pPr>
        <w:pStyle w:val="Lijstalinea"/>
        <w:numPr>
          <w:ilvl w:val="0"/>
          <w:numId w:val="2"/>
        </w:numPr>
      </w:pPr>
      <w:r>
        <w:t>Een antwoord of weigering wordt altijd gemotiveerd in begrijpelijke taal.</w:t>
      </w:r>
    </w:p>
    <w:p w:rsidR="00751A5E" w:rsidRDefault="00751A5E" w:rsidP="007141B3">
      <w:pPr>
        <w:pStyle w:val="Lijstalinea"/>
        <w:numPr>
          <w:ilvl w:val="0"/>
          <w:numId w:val="2"/>
        </w:numPr>
      </w:pPr>
      <w:r>
        <w:rPr>
          <w:rFonts w:cstheme="minorHAnsi"/>
        </w:rPr>
        <w:t>Wanneer de betrokkene zijn verzoek elektronisch indient, wordt de informatie indien mogelijk elektronisch verstrekt, tenzij de betrokkene anderszins verzoekt</w:t>
      </w:r>
    </w:p>
    <w:p w:rsidR="007141B3" w:rsidRDefault="007141B3" w:rsidP="007141B3">
      <w:pPr>
        <w:pStyle w:val="Lijstalinea"/>
        <w:numPr>
          <w:ilvl w:val="0"/>
          <w:numId w:val="2"/>
        </w:numPr>
      </w:pPr>
      <w:r>
        <w:t>Je mag voor de kopie van de gegevens geen kosten in rekening brengen. Wanneer de betrokkene meerdere kopieën wil ontvangen, dan mag je daarvoor op basis van administratieve kosten wel een redelijke vergoeding vragen</w:t>
      </w:r>
    </w:p>
    <w:p w:rsidR="007141B3" w:rsidRDefault="007141B3" w:rsidP="007141B3">
      <w:pPr>
        <w:pStyle w:val="Lijstalinea"/>
        <w:numPr>
          <w:ilvl w:val="0"/>
          <w:numId w:val="2"/>
        </w:numPr>
      </w:pPr>
      <w:r>
        <w:t>Geef alleen inzage in de eigen gegevens. Als er persoonsgegevens van andere betrokkenen bij staan, dan haal je die informatie weg of scherm je die af. Zodra de persoonlijke levenssfeer van derden wordt geraakt, of als het gaat om informatie die door derden vertrouwelijk zijn verstrekt, wordt er ook geen inzage gegeven.</w:t>
      </w:r>
    </w:p>
    <w:p w:rsidR="007141B3" w:rsidRDefault="007141B3" w:rsidP="007141B3">
      <w:pPr>
        <w:pStyle w:val="Lijstalinea"/>
        <w:numPr>
          <w:ilvl w:val="0"/>
          <w:numId w:val="2"/>
        </w:numPr>
      </w:pPr>
      <w:r>
        <w:t>De betrokkene heeft het recht om alles in te zien. Hou daar dus rekening mee op het moment dat een dossier wordt ingericht of samengesteld. Het dossier is zo opgebouwd dat een deskundige, collega of waarnemer de professionele relatie kan voortzetten.</w:t>
      </w:r>
    </w:p>
    <w:p w:rsidR="007141B3" w:rsidRDefault="007141B3" w:rsidP="007141B3">
      <w:pPr>
        <w:pStyle w:val="Lijstalinea"/>
        <w:numPr>
          <w:ilvl w:val="0"/>
          <w:numId w:val="2"/>
        </w:numPr>
      </w:pPr>
      <w:r>
        <w:t>Er is één uitzondering op het inzage geven: als het in het belang van de betrokkene is om geen inzage te geven, blijft inzage achterwege. Denk bijvoorbeeld aan dossiervorming bij verdenking van misbruik of kindermishandeling. Het is in het belang van het kind om de ouders géén inzage te geven in die informatie te geven. Dit is echter een grote uitzondering waar terughoudend mee om moet worden gegaan.</w:t>
      </w:r>
    </w:p>
    <w:p w:rsidR="007141B3" w:rsidRDefault="007141B3" w:rsidP="007141B3">
      <w:pPr>
        <w:pStyle w:val="Lijstalinea"/>
        <w:numPr>
          <w:ilvl w:val="0"/>
          <w:numId w:val="2"/>
        </w:numPr>
      </w:pPr>
      <w:r>
        <w:t xml:space="preserve">Neem in geval van twijfel of bij vragen contact op met </w:t>
      </w:r>
      <w:r w:rsidR="00751A5E">
        <w:t>onze F</w:t>
      </w:r>
      <w:r>
        <w:t>unctionaris Gegevensbescherming</w:t>
      </w:r>
      <w:r w:rsidR="00D20D7C">
        <w:t>:</w:t>
      </w:r>
      <w:r w:rsidR="00881E6F">
        <w:t xml:space="preserve"> </w:t>
      </w:r>
      <w:r w:rsidR="00D20D7C">
        <w:t>Dolf Dubois (</w:t>
      </w:r>
      <w:r w:rsidR="00D20D7C" w:rsidRPr="00D20D7C">
        <w:rPr>
          <w:rStyle w:val="Hyperlink"/>
        </w:rPr>
        <w:t>dolfdubois</w:t>
      </w:r>
      <w:r w:rsidR="00D20D7C">
        <w:rPr>
          <w:rStyle w:val="Hyperlink"/>
        </w:rPr>
        <w:t>@</w:t>
      </w:r>
      <w:r w:rsidR="00D20D7C" w:rsidRPr="00D20D7C">
        <w:rPr>
          <w:rStyle w:val="Hyperlink"/>
        </w:rPr>
        <w:t>ohm</w:t>
      </w:r>
      <w:r w:rsidR="00D20D7C">
        <w:rPr>
          <w:rStyle w:val="Hyperlink"/>
        </w:rPr>
        <w:t>.nl)</w:t>
      </w:r>
      <w:r w:rsidR="00FA6E61">
        <w:t>.</w:t>
      </w:r>
    </w:p>
    <w:p w:rsidR="00D422CF" w:rsidRPr="00D422CF" w:rsidRDefault="00D20D7C" w:rsidP="00D422CF">
      <w:pPr>
        <w:rPr>
          <w:rFonts w:cs="Arial"/>
          <w:b/>
        </w:rPr>
      </w:pPr>
      <w:r>
        <w:rPr>
          <w:rFonts w:cs="Arial"/>
          <w:b/>
        </w:rPr>
        <w:lastRenderedPageBreak/>
        <w:br/>
      </w:r>
      <w:r>
        <w:rPr>
          <w:rFonts w:cs="Arial"/>
          <w:b/>
        </w:rPr>
        <w:br/>
      </w:r>
      <w:r w:rsidR="00D422CF" w:rsidRPr="00D422CF">
        <w:rPr>
          <w:rFonts w:cs="Arial"/>
          <w:b/>
        </w:rPr>
        <w:t xml:space="preserve">Persoonlijke aantekeningen en werkaantekeningen </w:t>
      </w:r>
    </w:p>
    <w:p w:rsidR="00D422CF" w:rsidRPr="00D422CF" w:rsidRDefault="00D422CF" w:rsidP="00D422CF">
      <w:pPr>
        <w:rPr>
          <w:rFonts w:cs="Arial"/>
        </w:rPr>
      </w:pPr>
      <w:r w:rsidRPr="00D422CF">
        <w:rPr>
          <w:rFonts w:cs="Arial"/>
        </w:rPr>
        <w:t>Als er over een betrokkene persoonlijke werkaantekeningen zijn gemaakt, dan maken die geen deel uit van het dossier van de betrokkene. Ze vallen daarmee buiten bijvoorbeeld het inzagerecht. Voorwaarde is wel dat het moet gaan om persoonlijke werkaantekeningen: de aantekeningen zijn niet bedoeld om te delen met collega’s, en ze mogen niet toegankelijk zijn voor anderen. Denk bijvoorbeeld aan geheugensteuntjes, een voorlopig schooladvies of een registratie van een docent hoe vaak een leerling gewaarschuwd is in zijn les. Zodra persoonlijke werkaantekeningen zijn besproken of ingebracht in bijvoorbeeld in een rapportbespreking, zijn het geen persoonlijke aantekeningen meer. Aantekeningen in het leerling administratie systeem in het veld ‘notities’ zijn géén persoonlijke aantekeningen en de betrokkene heeft het recht om die in te zien. Dit zelfde geldt ook voor een personeelsdossier: zodra er meer medewerkers dan alleen een leidinggevende toegang hebben tot aantekeningen, zijn het geen persoonlijke aantekeningen meer.</w:t>
      </w:r>
    </w:p>
    <w:p w:rsidR="002F1A78" w:rsidRDefault="002F1A78" w:rsidP="00222755">
      <w:pPr>
        <w:pStyle w:val="Lijstalinea"/>
      </w:pPr>
    </w:p>
    <w:sectPr w:rsidR="002F1A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E61" w:rsidRDefault="00FA6E61" w:rsidP="00FA6E61">
      <w:pPr>
        <w:spacing w:after="0" w:line="240" w:lineRule="auto"/>
      </w:pPr>
      <w:r>
        <w:separator/>
      </w:r>
    </w:p>
  </w:endnote>
  <w:endnote w:type="continuationSeparator" w:id="0">
    <w:p w:rsidR="00FA6E61" w:rsidRDefault="00FA6E61" w:rsidP="00FA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E6F" w:rsidRDefault="00881E6F">
    <w:pPr>
      <w:pStyle w:val="Voettekst"/>
    </w:pPr>
    <w:r>
      <w:t xml:space="preserve">Protocol uitoefening </w:t>
    </w:r>
    <w:proofErr w:type="spellStart"/>
    <w:r>
      <w:t>privacyrechten</w:t>
    </w:r>
    <w:proofErr w:type="spellEnd"/>
    <w:r>
      <w:t xml:space="preserve"> betrokkenen</w:t>
    </w:r>
  </w:p>
  <w:p w:rsidR="00881E6F" w:rsidRDefault="00881E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E61" w:rsidRDefault="00FA6E61" w:rsidP="00FA6E61">
      <w:pPr>
        <w:spacing w:after="0" w:line="240" w:lineRule="auto"/>
      </w:pPr>
      <w:r>
        <w:separator/>
      </w:r>
    </w:p>
  </w:footnote>
  <w:footnote w:type="continuationSeparator" w:id="0">
    <w:p w:rsidR="00FA6E61" w:rsidRDefault="00FA6E61" w:rsidP="00FA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61" w:rsidRDefault="00D20D7C" w:rsidP="00FA6E61">
    <w:pPr>
      <w:pStyle w:val="Koptekst"/>
      <w:jc w:val="right"/>
    </w:pPr>
    <w:r>
      <w:rPr>
        <w:noProof/>
        <w:lang w:eastAsia="nl-NL"/>
      </w:rPr>
      <w:drawing>
        <wp:inline distT="0" distB="0" distL="0" distR="0">
          <wp:extent cx="657225" cy="6572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LS.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rsidR="00FA6E61" w:rsidRDefault="00FA6E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D9A"/>
    <w:multiLevelType w:val="hybridMultilevel"/>
    <w:tmpl w:val="DB6E8F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19">
      <w:start w:val="1"/>
      <w:numFmt w:val="lowerLetter"/>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0A655D"/>
    <w:multiLevelType w:val="hybridMultilevel"/>
    <w:tmpl w:val="E33AD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3376C5"/>
    <w:multiLevelType w:val="multilevel"/>
    <w:tmpl w:val="B4A6D24E"/>
    <w:lvl w:ilvl="0">
      <w:start w:val="1"/>
      <w:numFmt w:val="decimal"/>
      <w:pStyle w:val="StijlArtikel"/>
      <w:lvlText w:val="Artikel %1."/>
      <w:lvlJc w:val="left"/>
      <w:pPr>
        <w:ind w:left="709" w:hanging="709"/>
      </w:pPr>
      <w:rPr>
        <w:rFonts w:hint="default"/>
        <w:b/>
        <w:i w:val="0"/>
      </w:rPr>
    </w:lvl>
    <w:lvl w:ilvl="1">
      <w:start w:val="1"/>
      <w:numFmt w:val="decimal"/>
      <w:pStyle w:val="stijlartikel1"/>
      <w:lvlText w:val="%1.%2."/>
      <w:lvlJc w:val="left"/>
      <w:pPr>
        <w:ind w:left="709" w:hanging="709"/>
      </w:pPr>
      <w:rPr>
        <w:rFonts w:hint="default"/>
        <w:b w:val="0"/>
        <w:i w:val="0"/>
        <w:color w:val="000000" w:themeColor="text1"/>
        <w:sz w:val="20"/>
      </w:rPr>
    </w:lvl>
    <w:lvl w:ilvl="2">
      <w:start w:val="1"/>
      <w:numFmt w:val="decimal"/>
      <w:pStyle w:val="Stijlartikel11"/>
      <w:lvlText w:val="%1.%2.%3."/>
      <w:lvlJc w:val="left"/>
      <w:pPr>
        <w:ind w:left="709" w:hanging="709"/>
      </w:pPr>
      <w:rPr>
        <w:rFonts w:hint="default"/>
        <w:b w:val="0"/>
        <w:i w:val="0"/>
      </w:rPr>
    </w:lvl>
    <w:lvl w:ilvl="3">
      <w:start w:val="1"/>
      <w:numFmt w:val="lowerLetter"/>
      <w:pStyle w:val="Stijlanaartikel1"/>
      <w:lvlText w:val="%4."/>
      <w:lvlJc w:val="left"/>
      <w:pPr>
        <w:ind w:left="1418" w:hanging="709"/>
      </w:pPr>
      <w:rPr>
        <w:rFonts w:hint="default"/>
        <w:b w:val="0"/>
        <w:i w:val="0"/>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98B6A6B"/>
    <w:multiLevelType w:val="hybridMultilevel"/>
    <w:tmpl w:val="933876F0"/>
    <w:lvl w:ilvl="0" w:tplc="55365D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062429"/>
    <w:multiLevelType w:val="hybridMultilevel"/>
    <w:tmpl w:val="C2DE6624"/>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649E5EA8"/>
    <w:multiLevelType w:val="hybridMultilevel"/>
    <w:tmpl w:val="20FE1110"/>
    <w:lvl w:ilvl="0" w:tplc="9E886676">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9B1D5D"/>
    <w:multiLevelType w:val="hybridMultilevel"/>
    <w:tmpl w:val="D228E7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75A7D69"/>
    <w:multiLevelType w:val="hybridMultilevel"/>
    <w:tmpl w:val="D8B2D8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B3"/>
    <w:rsid w:val="000E0CB0"/>
    <w:rsid w:val="00222755"/>
    <w:rsid w:val="002F1A78"/>
    <w:rsid w:val="003D27CD"/>
    <w:rsid w:val="00444D19"/>
    <w:rsid w:val="005B44E0"/>
    <w:rsid w:val="006278DE"/>
    <w:rsid w:val="007141B3"/>
    <w:rsid w:val="00751A5E"/>
    <w:rsid w:val="00881E6F"/>
    <w:rsid w:val="009B48B5"/>
    <w:rsid w:val="00A2230E"/>
    <w:rsid w:val="00B4200B"/>
    <w:rsid w:val="00BE717D"/>
    <w:rsid w:val="00C24924"/>
    <w:rsid w:val="00D20D7C"/>
    <w:rsid w:val="00D422CF"/>
    <w:rsid w:val="00DF25C3"/>
    <w:rsid w:val="00EA346F"/>
    <w:rsid w:val="00EA7167"/>
    <w:rsid w:val="00FA6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A23DBF-7408-43B1-9F2E-96B7E92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41B3"/>
    <w:pPr>
      <w:ind w:left="720"/>
      <w:contextualSpacing/>
    </w:pPr>
  </w:style>
  <w:style w:type="character" w:styleId="Hyperlink">
    <w:name w:val="Hyperlink"/>
    <w:basedOn w:val="Standaardalinea-lettertype"/>
    <w:uiPriority w:val="99"/>
    <w:unhideWhenUsed/>
    <w:rsid w:val="002F1A78"/>
    <w:rPr>
      <w:color w:val="0563C1" w:themeColor="hyperlink"/>
      <w:u w:val="single"/>
    </w:rPr>
  </w:style>
  <w:style w:type="paragraph" w:customStyle="1" w:styleId="Default">
    <w:name w:val="Default"/>
    <w:rsid w:val="002F1A78"/>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customStyle="1" w:styleId="Bijlagen">
    <w:name w:val="Bijlagen"/>
    <w:basedOn w:val="Standaard"/>
    <w:qFormat/>
    <w:rsid w:val="002F1A78"/>
    <w:pPr>
      <w:spacing w:after="0" w:line="312" w:lineRule="auto"/>
      <w:jc w:val="both"/>
    </w:pPr>
    <w:rPr>
      <w:rFonts w:ascii="Trebuchet MS" w:eastAsia="MS Mincho" w:hAnsi="Trebuchet MS" w:cs="Times New Roman"/>
      <w:b/>
      <w:color w:val="E17C01"/>
      <w:sz w:val="28"/>
      <w:szCs w:val="20"/>
      <w:lang w:eastAsia="nl-NL"/>
    </w:rPr>
  </w:style>
  <w:style w:type="paragraph" w:customStyle="1" w:styleId="StijlArtikel">
    <w:name w:val="Stijl Artikel"/>
    <w:basedOn w:val="Standaard"/>
    <w:qFormat/>
    <w:rsid w:val="002F1A78"/>
    <w:pPr>
      <w:numPr>
        <w:numId w:val="3"/>
      </w:numPr>
      <w:spacing w:after="0" w:line="312" w:lineRule="auto"/>
      <w:ind w:left="1418" w:hanging="1418"/>
      <w:jc w:val="both"/>
    </w:pPr>
    <w:rPr>
      <w:rFonts w:ascii="Trebuchet MS" w:eastAsia="Times New Roman" w:hAnsi="Trebuchet MS"/>
      <w:b/>
      <w:color w:val="E17C01"/>
      <w:sz w:val="28"/>
      <w:szCs w:val="20"/>
    </w:rPr>
  </w:style>
  <w:style w:type="paragraph" w:customStyle="1" w:styleId="stijlartikel1">
    <w:name w:val="stijl artikel.1"/>
    <w:basedOn w:val="Standaard"/>
    <w:qFormat/>
    <w:rsid w:val="002F1A78"/>
    <w:pPr>
      <w:numPr>
        <w:ilvl w:val="1"/>
        <w:numId w:val="3"/>
      </w:numPr>
      <w:spacing w:after="0" w:line="312" w:lineRule="auto"/>
      <w:jc w:val="both"/>
    </w:pPr>
    <w:rPr>
      <w:rFonts w:ascii="Trebuchet MS" w:eastAsia="Times New Roman" w:hAnsi="Trebuchet MS"/>
      <w:sz w:val="20"/>
      <w:szCs w:val="20"/>
    </w:rPr>
  </w:style>
  <w:style w:type="paragraph" w:customStyle="1" w:styleId="Stijlartikel11">
    <w:name w:val="Stijl artikel.1.1"/>
    <w:basedOn w:val="stijlartikel1"/>
    <w:qFormat/>
    <w:rsid w:val="002F1A78"/>
    <w:pPr>
      <w:numPr>
        <w:ilvl w:val="2"/>
      </w:numPr>
    </w:pPr>
  </w:style>
  <w:style w:type="paragraph" w:customStyle="1" w:styleId="Stijlanaartikel1">
    <w:name w:val="Stijl a) na artikel.1"/>
    <w:basedOn w:val="Stijlartikel11"/>
    <w:qFormat/>
    <w:rsid w:val="002F1A78"/>
    <w:pPr>
      <w:numPr>
        <w:ilvl w:val="3"/>
      </w:numPr>
    </w:pPr>
  </w:style>
  <w:style w:type="paragraph" w:customStyle="1" w:styleId="Stijla">
    <w:name w:val="Stijl a)"/>
    <w:basedOn w:val="Standaard"/>
    <w:qFormat/>
    <w:rsid w:val="002F1A78"/>
    <w:pPr>
      <w:numPr>
        <w:ilvl w:val="4"/>
        <w:numId w:val="3"/>
      </w:numPr>
      <w:spacing w:after="0" w:line="312" w:lineRule="auto"/>
      <w:jc w:val="both"/>
    </w:pPr>
    <w:rPr>
      <w:rFonts w:ascii="Trebuchet MS" w:eastAsia="Times New Roman" w:hAnsi="Trebuchet MS"/>
      <w:sz w:val="20"/>
      <w:szCs w:val="20"/>
    </w:rPr>
  </w:style>
  <w:style w:type="paragraph" w:customStyle="1" w:styleId="Stijl1opsomming">
    <w:name w:val="Stijl1 opsomming"/>
    <w:basedOn w:val="Standaard"/>
    <w:qFormat/>
    <w:rsid w:val="002F1A78"/>
    <w:pPr>
      <w:numPr>
        <w:ilvl w:val="6"/>
        <w:numId w:val="3"/>
      </w:numPr>
      <w:spacing w:after="0" w:line="312" w:lineRule="auto"/>
      <w:jc w:val="both"/>
    </w:pPr>
    <w:rPr>
      <w:rFonts w:ascii="Trebuchet MS" w:eastAsia="Times New Roman" w:hAnsi="Trebuchet MS"/>
      <w:sz w:val="20"/>
      <w:szCs w:val="20"/>
    </w:rPr>
  </w:style>
  <w:style w:type="table" w:styleId="Tabelrasterlicht">
    <w:name w:val="Grid Table Light"/>
    <w:basedOn w:val="Standaardtabel"/>
    <w:uiPriority w:val="40"/>
    <w:rsid w:val="002F1A78"/>
    <w:pPr>
      <w:spacing w:after="0" w:line="240" w:lineRule="auto"/>
      <w:jc w:val="both"/>
    </w:pPr>
    <w:rPr>
      <w:rFonts w:ascii="Trebuchet MS" w:eastAsia="MS Mincho" w:hAnsi="Trebuchet MS"/>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FA6E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E61"/>
  </w:style>
  <w:style w:type="paragraph" w:styleId="Voettekst">
    <w:name w:val="footer"/>
    <w:basedOn w:val="Standaard"/>
    <w:link w:val="VoettekstChar"/>
    <w:uiPriority w:val="99"/>
    <w:unhideWhenUsed/>
    <w:rsid w:val="00FA6E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E61"/>
  </w:style>
  <w:style w:type="paragraph" w:styleId="Ballontekst">
    <w:name w:val="Balloon Text"/>
    <w:basedOn w:val="Standaard"/>
    <w:link w:val="BallontekstChar"/>
    <w:uiPriority w:val="99"/>
    <w:semiHidden/>
    <w:unhideWhenUsed/>
    <w:rsid w:val="006278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7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Diggele</dc:creator>
  <cp:keywords/>
  <dc:description/>
  <cp:lastModifiedBy>Dolf Dubois</cp:lastModifiedBy>
  <cp:revision>2</cp:revision>
  <dcterms:created xsi:type="dcterms:W3CDTF">2020-01-20T11:00:00Z</dcterms:created>
  <dcterms:modified xsi:type="dcterms:W3CDTF">2020-01-20T11:00:00Z</dcterms:modified>
</cp:coreProperties>
</file>